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pacing w:beforeAutospacing="0" w:afterAutospacing="0" w:line="580" w:lineRule="exact"/>
        <w:jc w:val="center"/>
        <w:rPr>
          <w:rStyle w:val="9"/>
          <w:rFonts w:hint="eastAsia" w:ascii="方正小标宋简体" w:hAnsi="方正小标宋简体" w:eastAsia="方正小标宋简体" w:cs="方正小标宋简体"/>
          <w:b w:val="0"/>
          <w:bCs/>
          <w:color w:val="333333"/>
          <w:sz w:val="44"/>
          <w:szCs w:val="44"/>
          <w:highlight w:val="none"/>
          <w:shd w:val="clear" w:color="auto" w:fill="FFFFFF"/>
        </w:rPr>
      </w:pPr>
    </w:p>
    <w:p>
      <w:pPr>
        <w:pStyle w:val="5"/>
        <w:widowControl/>
        <w:spacing w:beforeAutospacing="0" w:afterAutospacing="0" w:line="580" w:lineRule="exact"/>
        <w:jc w:val="center"/>
        <w:rPr>
          <w:rStyle w:val="9"/>
          <w:rFonts w:hint="eastAsia" w:ascii="方正小标宋简体" w:hAnsi="方正小标宋简体" w:eastAsia="方正小标宋简体" w:cs="方正小标宋简体"/>
          <w:b w:val="0"/>
          <w:bCs/>
          <w:color w:val="333333"/>
          <w:sz w:val="44"/>
          <w:szCs w:val="44"/>
          <w:highlight w:val="none"/>
          <w:shd w:val="clear" w:color="auto" w:fill="FFFFFF"/>
        </w:rPr>
      </w:pPr>
      <w:r>
        <w:rPr>
          <w:rStyle w:val="9"/>
          <w:rFonts w:hint="eastAsia" w:ascii="方正小标宋简体" w:hAnsi="方正小标宋简体" w:eastAsia="方正小标宋简体" w:cs="方正小标宋简体"/>
          <w:b w:val="0"/>
          <w:bCs/>
          <w:color w:val="333333"/>
          <w:sz w:val="44"/>
          <w:szCs w:val="44"/>
          <w:highlight w:val="none"/>
          <w:shd w:val="clear" w:color="auto" w:fill="FFFFFF"/>
        </w:rPr>
        <w:t>深圳市前海深港现代服务业合作区管理局</w:t>
      </w:r>
      <w:r>
        <w:rPr>
          <w:rStyle w:val="9"/>
          <w:rFonts w:hint="eastAsia" w:ascii="方正小标宋简体" w:hAnsi="方正小标宋简体" w:eastAsia="方正小标宋简体" w:cs="方正小标宋简体"/>
          <w:b w:val="0"/>
          <w:bCs/>
          <w:color w:val="333333"/>
          <w:sz w:val="44"/>
          <w:szCs w:val="44"/>
          <w:highlight w:val="none"/>
          <w:shd w:val="clear" w:color="auto" w:fill="FFFFFF"/>
          <w:lang w:val="en-US" w:eastAsia="zh-CN"/>
        </w:rPr>
        <w:t>2024届</w:t>
      </w:r>
      <w:r>
        <w:rPr>
          <w:rStyle w:val="9"/>
          <w:rFonts w:hint="eastAsia" w:ascii="方正小标宋简体" w:hAnsi="方正小标宋简体" w:eastAsia="方正小标宋简体" w:cs="方正小标宋简体"/>
          <w:b w:val="0"/>
          <w:bCs/>
          <w:color w:val="333333"/>
          <w:sz w:val="44"/>
          <w:szCs w:val="44"/>
          <w:highlight w:val="none"/>
          <w:shd w:val="clear" w:color="auto" w:fill="FFFFFF"/>
        </w:rPr>
        <w:t>校园招聘公告</w:t>
      </w:r>
    </w:p>
    <w:p>
      <w:pPr>
        <w:pStyle w:val="5"/>
        <w:widowControl/>
        <w:spacing w:beforeAutospacing="0" w:afterAutospacing="0" w:line="580" w:lineRule="exact"/>
        <w:jc w:val="center"/>
        <w:rPr>
          <w:rStyle w:val="9"/>
          <w:rFonts w:ascii="宋体" w:hAnsi="宋体" w:eastAsia="宋体" w:cs="微软雅黑"/>
          <w:color w:val="333333"/>
          <w:sz w:val="44"/>
          <w:szCs w:val="44"/>
          <w:highlight w:val="none"/>
          <w:shd w:val="clear" w:color="auto" w:fill="FFFFFF"/>
        </w:rPr>
      </w:pPr>
    </w:p>
    <w:p>
      <w:pPr>
        <w:pStyle w:val="5"/>
        <w:widowControl/>
        <w:numPr>
          <w:ilvl w:val="0"/>
          <w:numId w:val="1"/>
        </w:numPr>
        <w:spacing w:beforeAutospacing="0" w:afterAutospacing="0" w:line="580" w:lineRule="exact"/>
        <w:ind w:firstLine="640" w:firstLineChars="200"/>
        <w:jc w:val="both"/>
        <w:rPr>
          <w:rFonts w:ascii="黑体" w:hAnsi="黑体" w:eastAsia="黑体" w:cs="黑体"/>
          <w:sz w:val="32"/>
          <w:szCs w:val="32"/>
          <w:highlight w:val="none"/>
        </w:rPr>
      </w:pPr>
      <w:r>
        <w:rPr>
          <w:rFonts w:hint="eastAsia" w:ascii="黑体" w:hAnsi="黑体" w:eastAsia="黑体" w:cs="黑体"/>
          <w:sz w:val="32"/>
          <w:szCs w:val="32"/>
          <w:highlight w:val="none"/>
        </w:rPr>
        <w:t>前海</w:t>
      </w:r>
      <w:r>
        <w:rPr>
          <w:rFonts w:hint="eastAsia" w:ascii="黑体" w:hAnsi="黑体" w:eastAsia="黑体" w:cs="黑体"/>
          <w:sz w:val="32"/>
          <w:szCs w:val="32"/>
          <w:highlight w:val="none"/>
          <w:lang w:eastAsia="zh-CN"/>
        </w:rPr>
        <w:t>简介</w:t>
      </w:r>
    </w:p>
    <w:p>
      <w:pPr>
        <w:pStyle w:val="5"/>
        <w:widowControl/>
        <w:spacing w:beforeAutospacing="0" w:afterAutospacing="0" w:line="580" w:lineRule="exact"/>
        <w:ind w:firstLine="643" w:firstLineChars="200"/>
        <w:jc w:val="both"/>
        <w:rPr>
          <w:rFonts w:hint="eastAsia" w:ascii="仿宋_GB2312" w:eastAsia="仿宋_GB2312" w:cs="宋体"/>
          <w:sz w:val="32"/>
          <w:szCs w:val="32"/>
          <w:highlight w:val="none"/>
        </w:rPr>
      </w:pPr>
      <w:r>
        <w:rPr>
          <w:rFonts w:hint="eastAsia" w:ascii="仿宋_GB2312" w:eastAsia="仿宋_GB2312" w:cs="宋体"/>
          <w:b/>
          <w:bCs/>
          <w:sz w:val="32"/>
          <w:szCs w:val="32"/>
          <w:highlight w:val="none"/>
        </w:rPr>
        <w:t>推进</w:t>
      </w:r>
      <w:r>
        <w:rPr>
          <w:rFonts w:hint="eastAsia" w:ascii="仿宋_GB2312" w:eastAsia="仿宋_GB2312" w:cs="宋体"/>
          <w:b/>
          <w:bCs/>
          <w:sz w:val="32"/>
          <w:szCs w:val="32"/>
          <w:highlight w:val="none"/>
          <w:lang w:eastAsia="zh-CN"/>
        </w:rPr>
        <w:t>前海</w:t>
      </w:r>
      <w:r>
        <w:rPr>
          <w:rFonts w:hint="eastAsia" w:ascii="仿宋_GB2312" w:eastAsia="仿宋_GB2312" w:cs="宋体"/>
          <w:b w:val="0"/>
          <w:bCs w:val="0"/>
          <w:sz w:val="32"/>
          <w:szCs w:val="32"/>
          <w:highlight w:val="none"/>
        </w:rPr>
        <w:t>深港现代服务业合作区</w:t>
      </w:r>
      <w:r>
        <w:rPr>
          <w:rFonts w:hint="eastAsia" w:ascii="仿宋_GB2312" w:eastAsia="仿宋_GB2312" w:cs="宋体"/>
          <w:b w:val="0"/>
          <w:bCs w:val="0"/>
          <w:sz w:val="32"/>
          <w:szCs w:val="32"/>
          <w:highlight w:val="none"/>
          <w:lang w:eastAsia="zh-CN"/>
        </w:rPr>
        <w:t>（</w:t>
      </w:r>
      <w:r>
        <w:rPr>
          <w:rFonts w:hint="eastAsia" w:ascii="仿宋_GB2312" w:eastAsia="仿宋_GB2312" w:cs="宋体"/>
          <w:b w:val="0"/>
          <w:bCs w:val="0"/>
          <w:sz w:val="32"/>
          <w:szCs w:val="32"/>
          <w:highlight w:val="none"/>
          <w:lang w:val="en-US" w:eastAsia="zh-CN"/>
        </w:rPr>
        <w:t>以下简称前海</w:t>
      </w:r>
      <w:r>
        <w:rPr>
          <w:rFonts w:hint="eastAsia" w:ascii="仿宋_GB2312" w:eastAsia="仿宋_GB2312" w:cs="宋体"/>
          <w:b w:val="0"/>
          <w:bCs w:val="0"/>
          <w:sz w:val="32"/>
          <w:szCs w:val="32"/>
          <w:highlight w:val="none"/>
          <w:lang w:eastAsia="zh-CN"/>
        </w:rPr>
        <w:t>）</w:t>
      </w:r>
      <w:r>
        <w:rPr>
          <w:rFonts w:hint="eastAsia" w:ascii="仿宋_GB2312" w:eastAsia="仿宋_GB2312" w:cs="宋体"/>
          <w:b/>
          <w:bCs/>
          <w:sz w:val="32"/>
          <w:szCs w:val="32"/>
          <w:highlight w:val="none"/>
        </w:rPr>
        <w:t>开发开放，是习近平总书记亲自谋划、亲自部署、亲自推动的国家改革开放重大举措。</w:t>
      </w:r>
      <w:r>
        <w:rPr>
          <w:rFonts w:hint="eastAsia" w:ascii="仿宋_GB2312" w:eastAsia="仿宋_GB2312" w:cs="宋体"/>
          <w:sz w:val="32"/>
          <w:szCs w:val="32"/>
          <w:highlight w:val="none"/>
        </w:rPr>
        <w:t>前海位于珠江口东岸、深圳西部，是深圳经济发展的中心区域，处于内外循环交汇的重要节</w:t>
      </w:r>
      <w:r>
        <w:rPr>
          <w:rFonts w:hint="eastAsia" w:ascii="仿宋_GB2312" w:eastAsia="仿宋_GB2312" w:cs="宋体"/>
          <w:b w:val="0"/>
          <w:bCs w:val="0"/>
          <w:sz w:val="32"/>
          <w:szCs w:val="32"/>
          <w:highlight w:val="none"/>
        </w:rPr>
        <w:t>点。2010年8月26日，国务院批复《前海深港现代服务业合作区总体发展规划》，前海合作区正式成立，面积14.92平方公里。2021年9月6日，党中央、国务院</w:t>
      </w:r>
      <w:r>
        <w:rPr>
          <w:rFonts w:hint="eastAsia" w:ascii="仿宋_GB2312" w:eastAsia="仿宋_GB2312" w:cs="宋体"/>
          <w:b w:val="0"/>
          <w:bCs w:val="0"/>
          <w:sz w:val="32"/>
          <w:szCs w:val="32"/>
          <w:highlight w:val="none"/>
          <w:lang w:val="en-US" w:eastAsia="zh-CN"/>
        </w:rPr>
        <w:t>正式发布</w:t>
      </w:r>
      <w:r>
        <w:rPr>
          <w:rFonts w:hint="eastAsia" w:ascii="仿宋_GB2312" w:eastAsia="仿宋_GB2312" w:cs="宋体"/>
          <w:sz w:val="32"/>
          <w:szCs w:val="32"/>
          <w:highlight w:val="none"/>
        </w:rPr>
        <w:t>《全面深化前海深港现代服务业合作区改革开放方案》，明确前海从14.92平方公里扩大到120.56平方公里，要求打造粤港澳大湾区全面深化改革创新试验平台，建设高水平对外开放门户枢纽。</w:t>
      </w:r>
    </w:p>
    <w:p>
      <w:pPr>
        <w:pStyle w:val="5"/>
        <w:widowControl/>
        <w:spacing w:beforeAutospacing="0" w:afterAutospacing="0" w:line="580" w:lineRule="exact"/>
        <w:ind w:firstLine="640" w:firstLineChars="200"/>
        <w:jc w:val="both"/>
        <w:rPr>
          <w:rFonts w:hint="eastAsia" w:ascii="仿宋_GB2312" w:eastAsia="仿宋_GB2312" w:cs="宋体"/>
          <w:b w:val="0"/>
          <w:bCs w:val="0"/>
          <w:sz w:val="32"/>
          <w:szCs w:val="32"/>
          <w:highlight w:val="none"/>
        </w:rPr>
      </w:pPr>
      <w:r>
        <w:rPr>
          <w:rFonts w:hint="eastAsia" w:ascii="仿宋_GB2312" w:eastAsia="仿宋_GB2312" w:cs="宋体"/>
          <w:b w:val="0"/>
          <w:bCs w:val="0"/>
          <w:sz w:val="32"/>
          <w:szCs w:val="32"/>
          <w:highlight w:val="none"/>
        </w:rPr>
        <w:t>前海</w:t>
      </w:r>
      <w:r>
        <w:rPr>
          <w:rFonts w:hint="eastAsia" w:ascii="仿宋_GB2312" w:eastAsia="仿宋_GB2312" w:cs="宋体"/>
          <w:b w:val="0"/>
          <w:bCs w:val="0"/>
          <w:sz w:val="32"/>
          <w:szCs w:val="32"/>
          <w:highlight w:val="none"/>
          <w:lang w:val="en-US" w:eastAsia="zh-CN"/>
        </w:rPr>
        <w:t>作为“特区中的特区”，自成立以来，</w:t>
      </w:r>
      <w:r>
        <w:rPr>
          <w:rFonts w:hint="eastAsia" w:ascii="仿宋_GB2312" w:eastAsia="仿宋_GB2312" w:cs="宋体"/>
          <w:b w:val="0"/>
          <w:bCs w:val="0"/>
          <w:sz w:val="32"/>
          <w:szCs w:val="32"/>
          <w:highlight w:val="none"/>
        </w:rPr>
        <w:t>始终坚持</w:t>
      </w:r>
      <w:r>
        <w:rPr>
          <w:rFonts w:hint="eastAsia" w:ascii="仿宋_GB2312" w:eastAsia="仿宋_GB2312" w:cs="宋体"/>
          <w:b w:val="0"/>
          <w:bCs w:val="0"/>
          <w:sz w:val="32"/>
          <w:szCs w:val="32"/>
          <w:highlight w:val="none"/>
          <w:lang w:eastAsia="zh-CN"/>
        </w:rPr>
        <w:t>“依托香港、服务内地、面向世界”，</w:t>
      </w:r>
      <w:r>
        <w:rPr>
          <w:rFonts w:hint="eastAsia" w:ascii="仿宋_GB2312" w:hAnsi="Calibri" w:eastAsia="仿宋_GB2312" w:cs="宋体"/>
          <w:i w:val="0"/>
          <w:iCs w:val="0"/>
          <w:caps w:val="0"/>
          <w:color w:val="auto"/>
          <w:spacing w:val="0"/>
          <w:sz w:val="32"/>
          <w:szCs w:val="32"/>
          <w:highlight w:val="none"/>
          <w:shd w:val="clear" w:fill="auto"/>
        </w:rPr>
        <w:t>以制度创新为核心</w:t>
      </w:r>
      <w:r>
        <w:rPr>
          <w:rFonts w:hint="eastAsia" w:ascii="仿宋_GB2312" w:eastAsia="仿宋_GB2312" w:cs="宋体"/>
          <w:i w:val="0"/>
          <w:iCs w:val="0"/>
          <w:caps w:val="0"/>
          <w:spacing w:val="0"/>
          <w:sz w:val="32"/>
          <w:szCs w:val="32"/>
          <w:highlight w:val="none"/>
          <w:shd w:val="clear"/>
          <w:lang w:eastAsia="zh-CN"/>
        </w:rPr>
        <w:t>，</w:t>
      </w:r>
      <w:r>
        <w:rPr>
          <w:rFonts w:hint="eastAsia" w:ascii="仿宋_GB2312" w:hAnsi="Calibri" w:eastAsia="仿宋_GB2312" w:cs="宋体"/>
          <w:i w:val="0"/>
          <w:iCs w:val="0"/>
          <w:caps w:val="0"/>
          <w:color w:val="auto"/>
          <w:spacing w:val="0"/>
          <w:sz w:val="32"/>
          <w:szCs w:val="32"/>
          <w:highlight w:val="none"/>
          <w:shd w:val="clear" w:fill="auto"/>
        </w:rPr>
        <w:t>推进与港澳规则衔接、机制对接，丰富协同协调发展模式，</w:t>
      </w:r>
      <w:r>
        <w:rPr>
          <w:rFonts w:hint="eastAsia" w:ascii="仿宋_GB2312" w:eastAsia="仿宋_GB2312" w:cs="宋体"/>
          <w:b w:val="0"/>
          <w:bCs w:val="0"/>
          <w:sz w:val="32"/>
          <w:szCs w:val="32"/>
          <w:highlight w:val="none"/>
        </w:rPr>
        <w:t>呈现出生机勃勃发展态势</w:t>
      </w:r>
      <w:r>
        <w:rPr>
          <w:rFonts w:hint="eastAsia" w:ascii="仿宋_GB2312" w:eastAsia="仿宋_GB2312" w:cs="宋体"/>
          <w:b w:val="0"/>
          <w:bCs w:val="0"/>
          <w:sz w:val="32"/>
          <w:szCs w:val="32"/>
          <w:highlight w:val="none"/>
          <w:lang w:eastAsia="zh-CN"/>
        </w:rPr>
        <w:t>，</w:t>
      </w:r>
      <w:r>
        <w:rPr>
          <w:rFonts w:hint="eastAsia" w:ascii="仿宋_GB2312" w:hAnsi="Calibri" w:eastAsia="仿宋_GB2312" w:cs="宋体"/>
          <w:i w:val="0"/>
          <w:iCs w:val="0"/>
          <w:caps w:val="0"/>
          <w:color w:val="auto"/>
          <w:spacing w:val="0"/>
          <w:sz w:val="32"/>
          <w:szCs w:val="32"/>
          <w:highlight w:val="none"/>
          <w:shd w:val="clear" w:fill="auto"/>
        </w:rPr>
        <w:t>已成为内地与香港关联度最高、合作最紧密的区域之一</w:t>
      </w:r>
      <w:r>
        <w:rPr>
          <w:rFonts w:hint="eastAsia" w:ascii="仿宋_GB2312" w:eastAsia="仿宋_GB2312" w:cs="宋体"/>
          <w:b w:val="0"/>
          <w:bCs w:val="0"/>
          <w:sz w:val="32"/>
          <w:szCs w:val="32"/>
          <w:highlight w:val="none"/>
        </w:rPr>
        <w:t>。</w:t>
      </w:r>
    </w:p>
    <w:p>
      <w:pPr>
        <w:pStyle w:val="5"/>
        <w:widowControl/>
        <w:numPr>
          <w:ilvl w:val="0"/>
          <w:numId w:val="1"/>
        </w:numPr>
        <w:spacing w:beforeAutospacing="0" w:afterAutospacing="0" w:line="580" w:lineRule="exact"/>
        <w:ind w:firstLine="640" w:firstLineChars="200"/>
        <w:jc w:val="both"/>
        <w:rPr>
          <w:rFonts w:hint="eastAsia" w:ascii="楷体_GB2312" w:hAnsi="楷体_GB2312" w:eastAsia="楷体_GB2312" w:cs="楷体_GB2312"/>
          <w:b/>
          <w:bCs/>
          <w:sz w:val="32"/>
          <w:szCs w:val="32"/>
          <w:highlight w:val="none"/>
        </w:rPr>
      </w:pPr>
      <w:r>
        <w:rPr>
          <w:rFonts w:hint="eastAsia" w:ascii="黑体" w:hAnsi="黑体" w:eastAsia="黑体" w:cs="黑体"/>
          <w:sz w:val="32"/>
          <w:szCs w:val="32"/>
          <w:highlight w:val="none"/>
          <w:lang w:eastAsia="zh-CN"/>
        </w:rPr>
        <w:t>机构简介</w:t>
      </w:r>
    </w:p>
    <w:p>
      <w:pPr>
        <w:pStyle w:val="5"/>
        <w:widowControl/>
        <w:spacing w:beforeAutospacing="0" w:afterAutospacing="0" w:line="580" w:lineRule="exact"/>
        <w:ind w:firstLine="643" w:firstLineChars="200"/>
        <w:jc w:val="both"/>
        <w:rPr>
          <w:rFonts w:hint="eastAsia" w:ascii="仿宋_GB2312" w:eastAsia="仿宋_GB2312" w:cs="宋体"/>
          <w:sz w:val="32"/>
          <w:szCs w:val="32"/>
          <w:highlight w:val="none"/>
        </w:rPr>
      </w:pPr>
      <w:r>
        <w:rPr>
          <w:rFonts w:hint="eastAsia" w:ascii="仿宋_GB2312" w:eastAsia="仿宋_GB2312" w:cs="宋体"/>
          <w:b/>
          <w:bCs/>
          <w:sz w:val="32"/>
          <w:szCs w:val="32"/>
          <w:highlight w:val="none"/>
        </w:rPr>
        <w:t>深圳市前海深港现代服务业合作区管理局</w:t>
      </w:r>
      <w:r>
        <w:rPr>
          <w:rFonts w:hint="eastAsia" w:ascii="仿宋_GB2312" w:eastAsia="仿宋_GB2312" w:cs="宋体"/>
          <w:sz w:val="32"/>
          <w:szCs w:val="32"/>
          <w:highlight w:val="none"/>
        </w:rPr>
        <w:t>（简称前海管理局）成立于2010年2月，为深圳市政府直属派出机构，</w:t>
      </w:r>
      <w:r>
        <w:rPr>
          <w:rFonts w:hint="eastAsia" w:ascii="仿宋_GB2312" w:eastAsia="仿宋_GB2312" w:cs="宋体"/>
          <w:sz w:val="32"/>
          <w:szCs w:val="32"/>
          <w:highlight w:val="none"/>
          <w:lang w:eastAsia="zh-CN"/>
        </w:rPr>
        <w:t>2015年</w:t>
      </w:r>
      <w:r>
        <w:rPr>
          <w:rFonts w:hint="eastAsia" w:ascii="仿宋_GB2312" w:eastAsia="仿宋_GB2312" w:cs="宋体"/>
          <w:sz w:val="32"/>
          <w:szCs w:val="32"/>
          <w:highlight w:val="none"/>
          <w:lang w:val="en-US" w:eastAsia="zh-CN"/>
        </w:rPr>
        <w:t>加挂</w:t>
      </w:r>
      <w:r>
        <w:rPr>
          <w:rFonts w:hint="eastAsia" w:ascii="仿宋_GB2312" w:eastAsia="仿宋_GB2312" w:cs="宋体"/>
          <w:sz w:val="32"/>
          <w:szCs w:val="32"/>
          <w:highlight w:val="none"/>
        </w:rPr>
        <w:t>中国（广东）自由贸易试验区深圳前海蛇口片区管委会</w:t>
      </w:r>
      <w:r>
        <w:rPr>
          <w:rFonts w:hint="eastAsia" w:ascii="仿宋_GB2312" w:eastAsia="仿宋_GB2312" w:cs="宋体"/>
          <w:sz w:val="32"/>
          <w:szCs w:val="32"/>
          <w:highlight w:val="none"/>
          <w:lang w:val="en-US" w:eastAsia="zh-CN"/>
        </w:rPr>
        <w:t>牌子，</w:t>
      </w:r>
      <w:r>
        <w:rPr>
          <w:rFonts w:hint="eastAsia" w:ascii="仿宋_GB2312" w:eastAsia="仿宋_GB2312" w:cs="宋体"/>
          <w:sz w:val="32"/>
          <w:szCs w:val="32"/>
          <w:highlight w:val="none"/>
        </w:rPr>
        <w:t>实行一体化运作。按照国务院批复前海总体发展规划及深圳市出台的有关法规规定，前海管理局是实行企业化管理但不以营利为目的履行相应行政管理和公共服务职责的法定机构，依法负责履行前海深港现代服务业合作区与前海蛇口自由贸易试验片区的开发建设、运营管理、产业发展、法治建设、社会建设促进等相关行政管理和公共服务职责。</w:t>
      </w:r>
    </w:p>
    <w:p>
      <w:pPr>
        <w:pStyle w:val="5"/>
        <w:widowControl/>
        <w:spacing w:beforeAutospacing="0" w:afterAutospacing="0" w:line="580" w:lineRule="exact"/>
        <w:ind w:firstLine="640" w:firstLineChars="200"/>
        <w:jc w:val="both"/>
        <w:rPr>
          <w:rFonts w:hint="eastAsia" w:ascii="仿宋_GB2312" w:eastAsia="仿宋_GB2312" w:cs="宋体"/>
          <w:sz w:val="32"/>
          <w:szCs w:val="32"/>
          <w:highlight w:val="none"/>
          <w:lang w:eastAsia="zh-CN"/>
        </w:rPr>
      </w:pPr>
      <w:r>
        <w:rPr>
          <w:rFonts w:hint="eastAsia" w:ascii="仿宋_GB2312" w:eastAsia="仿宋_GB2312" w:cs="宋体"/>
          <w:sz w:val="32"/>
          <w:szCs w:val="32"/>
          <w:highlight w:val="none"/>
          <w:lang w:val="en-US" w:eastAsia="zh-CN"/>
        </w:rPr>
        <w:t>前海管理局作为法定机构，现有内设机构17个、下设机构2个，下</w:t>
      </w:r>
      <w:r>
        <w:rPr>
          <w:rFonts w:hint="eastAsia" w:ascii="仿宋_GB2312" w:hAnsi="Calibri" w:eastAsia="仿宋_GB2312" w:cs="宋体"/>
          <w:b w:val="0"/>
          <w:bCs w:val="0"/>
          <w:sz w:val="32"/>
          <w:szCs w:val="32"/>
          <w:highlight w:val="none"/>
        </w:rPr>
        <w:t>辖4家全资控股公司</w:t>
      </w:r>
      <w:r>
        <w:rPr>
          <w:rFonts w:hint="eastAsia" w:ascii="仿宋_GB2312" w:eastAsia="仿宋_GB2312" w:cs="宋体"/>
          <w:b w:val="0"/>
          <w:bCs w:val="0"/>
          <w:sz w:val="32"/>
          <w:szCs w:val="32"/>
          <w:highlight w:val="none"/>
          <w:lang w:eastAsia="zh-CN"/>
        </w:rPr>
        <w:t>（深圳市前海建设投资控股集团有限公司、</w:t>
      </w:r>
      <w:r>
        <w:rPr>
          <w:rFonts w:hint="eastAsia" w:ascii="仿宋_GB2312" w:eastAsia="仿宋_GB2312" w:cs="宋体"/>
          <w:b w:val="0"/>
          <w:bCs w:val="0"/>
          <w:sz w:val="32"/>
          <w:szCs w:val="32"/>
          <w:highlight w:val="none"/>
        </w:rPr>
        <w:t>前海金融控股有限公司</w:t>
      </w:r>
      <w:r>
        <w:rPr>
          <w:rFonts w:hint="eastAsia" w:ascii="仿宋_GB2312" w:eastAsia="仿宋_GB2312" w:cs="宋体"/>
          <w:b w:val="0"/>
          <w:bCs w:val="0"/>
          <w:sz w:val="32"/>
          <w:szCs w:val="32"/>
          <w:highlight w:val="none"/>
          <w:lang w:eastAsia="zh-CN"/>
        </w:rPr>
        <w:t>、</w:t>
      </w:r>
      <w:r>
        <w:rPr>
          <w:rFonts w:hint="eastAsia" w:ascii="仿宋_GB2312" w:eastAsia="仿宋_GB2312" w:cs="宋体"/>
          <w:b w:val="0"/>
          <w:bCs w:val="0"/>
          <w:sz w:val="32"/>
          <w:szCs w:val="32"/>
          <w:highlight w:val="none"/>
        </w:rPr>
        <w:t>深圳市前海服务集团有限公司</w:t>
      </w:r>
      <w:r>
        <w:rPr>
          <w:rFonts w:hint="eastAsia" w:ascii="仿宋_GB2312" w:eastAsia="仿宋_GB2312" w:cs="宋体"/>
          <w:b w:val="0"/>
          <w:bCs w:val="0"/>
          <w:sz w:val="32"/>
          <w:szCs w:val="32"/>
          <w:highlight w:val="none"/>
          <w:lang w:eastAsia="zh-CN"/>
        </w:rPr>
        <w:t>、</w:t>
      </w:r>
      <w:r>
        <w:rPr>
          <w:rFonts w:hint="eastAsia" w:ascii="仿宋_GB2312" w:eastAsia="仿宋_GB2312" w:cs="宋体"/>
          <w:b w:val="0"/>
          <w:bCs w:val="0"/>
          <w:sz w:val="32"/>
          <w:szCs w:val="32"/>
          <w:highlight w:val="none"/>
        </w:rPr>
        <w:t>前海科技创新集团有限公司</w:t>
      </w:r>
      <w:r>
        <w:rPr>
          <w:rFonts w:hint="eastAsia" w:ascii="仿宋_GB2312" w:eastAsia="仿宋_GB2312" w:cs="宋体"/>
          <w:b w:val="0"/>
          <w:bCs w:val="0"/>
          <w:sz w:val="32"/>
          <w:szCs w:val="32"/>
          <w:highlight w:val="none"/>
          <w:lang w:eastAsia="zh-CN"/>
        </w:rPr>
        <w:t>），</w:t>
      </w:r>
      <w:r>
        <w:rPr>
          <w:rFonts w:hint="eastAsia" w:ascii="仿宋_GB2312" w:eastAsia="仿宋_GB2312" w:cs="宋体"/>
          <w:b w:val="0"/>
          <w:bCs w:val="0"/>
          <w:sz w:val="32"/>
          <w:szCs w:val="32"/>
          <w:highlight w:val="none"/>
          <w:lang w:val="en-US" w:eastAsia="zh-CN"/>
        </w:rPr>
        <w:t>并于</w:t>
      </w:r>
      <w:r>
        <w:rPr>
          <w:rFonts w:hint="eastAsia" w:ascii="仿宋_GB2312" w:eastAsia="仿宋_GB2312" w:cs="宋体"/>
          <w:sz w:val="32"/>
          <w:szCs w:val="32"/>
          <w:highlight w:val="none"/>
        </w:rPr>
        <w:t>2020年2月获批设立博士后创新实践基地</w:t>
      </w:r>
      <w:r>
        <w:rPr>
          <w:rFonts w:hint="eastAsia" w:ascii="仿宋_GB2312" w:eastAsia="仿宋_GB2312" w:cs="宋体"/>
          <w:sz w:val="32"/>
          <w:szCs w:val="32"/>
          <w:highlight w:val="none"/>
          <w:lang w:eastAsia="zh-CN"/>
        </w:rPr>
        <w:t>。</w:t>
      </w:r>
      <w:r>
        <w:rPr>
          <w:rFonts w:hint="eastAsia" w:ascii="仿宋_GB2312" w:eastAsia="仿宋_GB2312" w:cs="宋体"/>
          <w:sz w:val="32"/>
          <w:szCs w:val="32"/>
          <w:highlight w:val="none"/>
          <w:lang w:val="en-US" w:eastAsia="zh-CN"/>
        </w:rPr>
        <w:t>其中</w:t>
      </w:r>
      <w:r>
        <w:rPr>
          <w:rFonts w:hint="eastAsia" w:ascii="仿宋_GB2312" w:eastAsia="仿宋_GB2312" w:cs="宋体"/>
          <w:b/>
          <w:bCs/>
          <w:sz w:val="32"/>
          <w:szCs w:val="32"/>
          <w:highlight w:val="none"/>
          <w:lang w:eastAsia="zh-CN"/>
        </w:rPr>
        <w:t>深圳市前海建设投资控股集团有限公司</w:t>
      </w:r>
      <w:r>
        <w:rPr>
          <w:rFonts w:hint="eastAsia" w:ascii="仿宋_GB2312" w:eastAsia="仿宋_GB2312" w:cs="宋体"/>
          <w:sz w:val="32"/>
          <w:szCs w:val="32"/>
          <w:highlight w:val="none"/>
          <w:lang w:eastAsia="zh-CN"/>
        </w:rPr>
        <w:t>（简称前海建投集团）于2011年12月28日成立，</w:t>
      </w:r>
      <w:r>
        <w:rPr>
          <w:rFonts w:hint="eastAsia" w:ascii="仿宋_GB2312" w:eastAsia="仿宋_GB2312" w:cs="宋体"/>
          <w:sz w:val="32"/>
          <w:szCs w:val="32"/>
          <w:highlight w:val="none"/>
        </w:rPr>
        <w:t>负责前海合作区土地一级开发、基础设施建设和重大项目投资等</w:t>
      </w:r>
      <w:r>
        <w:rPr>
          <w:rFonts w:hint="eastAsia" w:ascii="仿宋_GB2312" w:eastAsia="仿宋_GB2312" w:cs="宋体"/>
          <w:sz w:val="32"/>
          <w:szCs w:val="32"/>
          <w:highlight w:val="none"/>
          <w:lang w:eastAsia="zh-CN"/>
        </w:rPr>
        <w:t>。前海建投集团以“践行国家战略，引领产城文明”为使命，统筹负责前海城市新中心“未来之城”开发建设，现</w:t>
      </w:r>
      <w:r>
        <w:rPr>
          <w:rFonts w:hint="eastAsia" w:ascii="仿宋_GB2312" w:eastAsia="仿宋_GB2312" w:cs="宋体"/>
          <w:sz w:val="32"/>
          <w:szCs w:val="32"/>
          <w:highlight w:val="none"/>
        </w:rPr>
        <w:t>已发展为业务覆盖市政和公共设施、区域能源、人才住房、产业空间、营商环境配套五大板块</w:t>
      </w:r>
      <w:r>
        <w:rPr>
          <w:rFonts w:hint="eastAsia" w:ascii="仿宋_GB2312" w:eastAsia="仿宋_GB2312" w:cs="宋体"/>
          <w:sz w:val="32"/>
          <w:szCs w:val="32"/>
          <w:highlight w:val="none"/>
          <w:lang w:val="en-US" w:eastAsia="zh-CN"/>
        </w:rPr>
        <w:t>的</w:t>
      </w:r>
      <w:r>
        <w:rPr>
          <w:rFonts w:hint="eastAsia" w:ascii="仿宋_GB2312" w:eastAsia="仿宋_GB2312" w:cs="宋体"/>
          <w:sz w:val="32"/>
          <w:szCs w:val="32"/>
          <w:highlight w:val="none"/>
          <w:lang w:eastAsia="zh-CN"/>
        </w:rPr>
        <w:t>现代企业集团</w:t>
      </w:r>
      <w:r>
        <w:rPr>
          <w:rFonts w:hint="eastAsia" w:ascii="仿宋_GB2312" w:eastAsia="仿宋_GB2312" w:cs="宋体"/>
          <w:sz w:val="32"/>
          <w:szCs w:val="32"/>
          <w:highlight w:val="none"/>
        </w:rPr>
        <w:t>。</w:t>
      </w:r>
    </w:p>
    <w:p>
      <w:pPr>
        <w:pStyle w:val="5"/>
        <w:widowControl/>
        <w:numPr>
          <w:ilvl w:val="0"/>
          <w:numId w:val="1"/>
        </w:numPr>
        <w:spacing w:beforeAutospacing="0" w:afterAutospacing="0" w:line="580" w:lineRule="exact"/>
        <w:ind w:firstLine="640" w:firstLineChars="200"/>
        <w:jc w:val="both"/>
        <w:rPr>
          <w:rFonts w:ascii="黑体" w:hAnsi="黑体" w:eastAsia="黑体" w:cs="黑体"/>
          <w:sz w:val="32"/>
          <w:szCs w:val="32"/>
          <w:highlight w:val="none"/>
        </w:rPr>
      </w:pPr>
      <w:r>
        <w:rPr>
          <w:rFonts w:hint="eastAsia" w:ascii="黑体" w:hAnsi="黑体" w:eastAsia="黑体" w:cs="黑体"/>
          <w:sz w:val="32"/>
          <w:szCs w:val="32"/>
          <w:highlight w:val="none"/>
        </w:rPr>
        <w:t>校招岗位</w:t>
      </w:r>
    </w:p>
    <w:tbl>
      <w:tblPr>
        <w:tblStyle w:val="6"/>
        <w:tblW w:w="8071"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761"/>
        <w:gridCol w:w="1365"/>
        <w:gridCol w:w="1131"/>
        <w:gridCol w:w="28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0" w:hRule="atLeast"/>
        </w:trPr>
        <w:tc>
          <w:tcPr>
            <w:tcW w:w="807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wordWrap w:val="0"/>
              <w:spacing w:line="520" w:lineRule="exact"/>
              <w:jc w:val="center"/>
              <w:textAlignment w:val="auto"/>
              <w:rPr>
                <w:rFonts w:hint="eastAsia" w:ascii="楷体_GB2312" w:hAnsi="宋体" w:eastAsia="楷体_GB2312" w:cs="楷体_GB2312"/>
                <w:i w:val="0"/>
                <w:iCs w:val="0"/>
                <w:color w:val="000000"/>
                <w:kern w:val="0"/>
                <w:sz w:val="32"/>
                <w:szCs w:val="32"/>
                <w:u w:val="none"/>
                <w:lang w:val="en-US" w:eastAsia="zh-CN" w:bidi="ar"/>
              </w:rPr>
            </w:pPr>
            <w:r>
              <w:rPr>
                <w:rFonts w:hint="eastAsia" w:ascii="楷体_GB2312" w:hAnsi="宋体" w:eastAsia="楷体_GB2312" w:cs="楷体_GB2312"/>
                <w:i w:val="0"/>
                <w:iCs w:val="0"/>
                <w:color w:val="000000"/>
                <w:kern w:val="0"/>
                <w:sz w:val="32"/>
                <w:szCs w:val="32"/>
                <w:u w:val="none"/>
                <w:lang w:val="en-US" w:eastAsia="zh-CN" w:bidi="ar"/>
              </w:rPr>
              <w:t>前海管理局</w:t>
            </w:r>
          </w:p>
          <w:p>
            <w:pPr>
              <w:keepNext w:val="0"/>
              <w:keepLines w:val="0"/>
              <w:widowControl w:val="0"/>
              <w:suppressLineNumbers w:val="0"/>
              <w:wordWrap w:val="0"/>
              <w:spacing w:line="520" w:lineRule="exact"/>
              <w:jc w:val="center"/>
              <w:textAlignment w:val="auto"/>
              <w:rPr>
                <w:rFonts w:ascii="楷体_GB2312" w:hAnsi="宋体" w:eastAsia="楷体_GB2312" w:cs="楷体_GB2312"/>
                <w:i w:val="0"/>
                <w:iCs w:val="0"/>
                <w:color w:val="000000"/>
                <w:sz w:val="32"/>
                <w:szCs w:val="32"/>
                <w:u w:val="none"/>
              </w:rPr>
            </w:pPr>
            <w:r>
              <w:rPr>
                <w:rFonts w:hint="eastAsia" w:ascii="仿宋_GB2312" w:hAnsi="仿宋" w:eastAsia="仿宋_GB2312" w:cs="仿宋"/>
                <w:sz w:val="28"/>
                <w:szCs w:val="28"/>
                <w:highlight w:val="none"/>
              </w:rPr>
              <w:t>（</w:t>
            </w:r>
            <w:r>
              <w:rPr>
                <w:rFonts w:hint="eastAsia" w:ascii="仿宋_GB2312" w:hAnsi="仿宋" w:eastAsia="仿宋_GB2312" w:cs="仿宋"/>
                <w:sz w:val="28"/>
                <w:szCs w:val="28"/>
                <w:highlight w:val="none"/>
                <w:lang w:eastAsia="zh-CN"/>
              </w:rPr>
              <w:t>具体岗位信息见</w:t>
            </w:r>
            <w:r>
              <w:rPr>
                <w:rFonts w:hint="eastAsia" w:ascii="仿宋_GB2312" w:hAnsi="仿宋" w:eastAsia="仿宋_GB2312" w:cs="仿宋"/>
                <w:b/>
                <w:bCs/>
                <w:sz w:val="28"/>
                <w:szCs w:val="28"/>
                <w:highlight w:val="none"/>
                <w:lang w:eastAsia="zh-CN"/>
              </w:rPr>
              <w:t>附件</w:t>
            </w:r>
            <w:r>
              <w:rPr>
                <w:rFonts w:hint="eastAsia" w:ascii="仿宋_GB2312" w:hAnsi="仿宋" w:eastAsia="仿宋_GB2312" w:cs="仿宋"/>
                <w:b/>
                <w:bCs/>
                <w:sz w:val="28"/>
                <w:szCs w:val="28"/>
                <w:highlight w:val="none"/>
                <w:lang w:val="en-US" w:eastAsia="zh-CN"/>
              </w:rPr>
              <w:t>1、2</w:t>
            </w:r>
            <w:r>
              <w:rPr>
                <w:rFonts w:hint="eastAsia" w:ascii="仿宋_GB2312" w:hAnsi="仿宋" w:eastAsia="仿宋_GB2312" w:cs="仿宋"/>
                <w:sz w:val="28"/>
                <w:szCs w:val="28"/>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41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20" w:lineRule="exact"/>
              <w:jc w:val="center"/>
              <w:textAlignment w:val="center"/>
              <w:rPr>
                <w:rFonts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综合职能类岗位</w:t>
            </w:r>
          </w:p>
        </w:tc>
        <w:tc>
          <w:tcPr>
            <w:tcW w:w="3945"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spacing w:line="520" w:lineRule="exact"/>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规划建设类岗位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4126"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suppressLineNumbers w:val="0"/>
              <w:spacing w:line="520" w:lineRule="exact"/>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产业发展类岗位</w:t>
            </w:r>
          </w:p>
        </w:tc>
        <w:tc>
          <w:tcPr>
            <w:tcW w:w="394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line="520" w:lineRule="exact"/>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深港合作类岗位</w:t>
            </w:r>
            <w:r>
              <w:rPr>
                <w:rFonts w:hint="eastAsia" w:ascii="仿宋_GB2312" w:hAnsi="宋体" w:eastAsia="仿宋_GB2312" w:cs="仿宋_GB2312"/>
                <w:i w:val="0"/>
                <w:iCs w:val="0"/>
                <w:color w:val="000000"/>
                <w:kern w:val="0"/>
                <w:sz w:val="32"/>
                <w:szCs w:val="32"/>
                <w:u w:val="none"/>
                <w:lang w:val="en-US" w:eastAsia="zh-CN" w:bidi="ar"/>
              </w:rPr>
              <w:br w:type="textWrapping"/>
            </w:r>
            <w:r>
              <w:rPr>
                <w:rFonts w:hint="eastAsia" w:ascii="仿宋_GB2312" w:hAnsi="宋体" w:eastAsia="仿宋_GB2312" w:cs="仿宋_GB2312"/>
                <w:i w:val="0"/>
                <w:iCs w:val="0"/>
                <w:color w:val="000000"/>
                <w:kern w:val="0"/>
                <w:sz w:val="28"/>
                <w:szCs w:val="28"/>
                <w:u w:val="none"/>
                <w:lang w:val="en-US" w:eastAsia="zh-CN" w:bidi="ar"/>
              </w:rPr>
              <w:t>（专门面向港澳人士）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4126" w:type="dxa"/>
            <w:gridSpan w:val="2"/>
            <w:vMerge w:val="restart"/>
            <w:tcBorders>
              <w:top w:val="single" w:color="000000" w:sz="4" w:space="0"/>
              <w:left w:val="single" w:color="000000" w:sz="4" w:space="0"/>
              <w:right w:val="single" w:color="000000" w:sz="4" w:space="0"/>
            </w:tcBorders>
            <w:shd w:val="clear" w:color="auto" w:fill="auto"/>
            <w:vAlign w:val="center"/>
          </w:tcPr>
          <w:p>
            <w:pPr>
              <w:spacing w:line="520" w:lineRule="exact"/>
              <w:jc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博士后研究人员</w:t>
            </w:r>
          </w:p>
        </w:tc>
        <w:tc>
          <w:tcPr>
            <w:tcW w:w="3945" w:type="dxa"/>
            <w:gridSpan w:val="2"/>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20" w:lineRule="exact"/>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党建方向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4126" w:type="dxa"/>
            <w:gridSpan w:val="2"/>
            <w:vMerge w:val="continue"/>
            <w:tcBorders>
              <w:left w:val="single" w:color="000000" w:sz="4" w:space="0"/>
              <w:right w:val="single" w:color="000000" w:sz="4" w:space="0"/>
            </w:tcBorders>
            <w:shd w:val="clear" w:color="auto" w:fill="auto"/>
            <w:vAlign w:val="center"/>
          </w:tcPr>
          <w:p>
            <w:pPr>
              <w:spacing w:line="520" w:lineRule="exact"/>
              <w:jc w:val="center"/>
              <w:rPr>
                <w:rFonts w:hint="eastAsia" w:ascii="仿宋_GB2312" w:hAnsi="宋体" w:eastAsia="仿宋_GB2312" w:cs="仿宋_GB2312"/>
                <w:i w:val="0"/>
                <w:iCs w:val="0"/>
                <w:color w:val="000000"/>
                <w:sz w:val="32"/>
                <w:szCs w:val="32"/>
                <w:u w:val="none"/>
              </w:rPr>
            </w:pPr>
          </w:p>
        </w:tc>
        <w:tc>
          <w:tcPr>
            <w:tcW w:w="39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20" w:lineRule="exact"/>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国际法方向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4126" w:type="dxa"/>
            <w:gridSpan w:val="2"/>
            <w:vMerge w:val="continue"/>
            <w:tcBorders>
              <w:left w:val="single" w:color="000000" w:sz="4" w:space="0"/>
              <w:right w:val="single" w:color="000000" w:sz="4" w:space="0"/>
            </w:tcBorders>
            <w:shd w:val="clear" w:color="auto" w:fill="auto"/>
            <w:vAlign w:val="center"/>
          </w:tcPr>
          <w:p>
            <w:pPr>
              <w:spacing w:line="520" w:lineRule="exact"/>
              <w:jc w:val="center"/>
              <w:rPr>
                <w:rFonts w:hint="eastAsia" w:ascii="仿宋_GB2312" w:hAnsi="宋体" w:eastAsia="仿宋_GB2312" w:cs="仿宋_GB2312"/>
                <w:i w:val="0"/>
                <w:iCs w:val="0"/>
                <w:color w:val="000000"/>
                <w:sz w:val="32"/>
                <w:szCs w:val="32"/>
                <w:u w:val="none"/>
              </w:rPr>
            </w:pPr>
          </w:p>
        </w:tc>
        <w:tc>
          <w:tcPr>
            <w:tcW w:w="39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20" w:lineRule="exact"/>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国际经贸规则方向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4126" w:type="dxa"/>
            <w:gridSpan w:val="2"/>
            <w:vMerge w:val="continue"/>
            <w:tcBorders>
              <w:left w:val="single" w:color="000000" w:sz="4" w:space="0"/>
              <w:right w:val="single" w:color="000000" w:sz="4" w:space="0"/>
            </w:tcBorders>
            <w:shd w:val="clear" w:color="auto" w:fill="auto"/>
            <w:vAlign w:val="center"/>
          </w:tcPr>
          <w:p>
            <w:pPr>
              <w:spacing w:line="520" w:lineRule="exact"/>
              <w:jc w:val="center"/>
              <w:rPr>
                <w:rFonts w:hint="eastAsia" w:ascii="仿宋_GB2312" w:hAnsi="宋体" w:eastAsia="仿宋_GB2312" w:cs="仿宋_GB2312"/>
                <w:i w:val="0"/>
                <w:iCs w:val="0"/>
                <w:color w:val="000000"/>
                <w:sz w:val="32"/>
                <w:szCs w:val="32"/>
                <w:u w:val="none"/>
              </w:rPr>
            </w:pPr>
          </w:p>
        </w:tc>
        <w:tc>
          <w:tcPr>
            <w:tcW w:w="39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20" w:lineRule="exact"/>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科技创新方向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4126" w:type="dxa"/>
            <w:gridSpan w:val="2"/>
            <w:vMerge w:val="continue"/>
            <w:tcBorders>
              <w:left w:val="single" w:color="000000" w:sz="4" w:space="0"/>
              <w:bottom w:val="single" w:color="000000" w:sz="4" w:space="0"/>
              <w:right w:val="single" w:color="000000" w:sz="4" w:space="0"/>
            </w:tcBorders>
            <w:shd w:val="clear" w:color="auto" w:fill="auto"/>
            <w:vAlign w:val="center"/>
          </w:tcPr>
          <w:p>
            <w:pPr>
              <w:spacing w:line="520" w:lineRule="exact"/>
              <w:jc w:val="center"/>
              <w:rPr>
                <w:rFonts w:hint="eastAsia" w:ascii="仿宋_GB2312" w:hAnsi="宋体" w:eastAsia="仿宋_GB2312" w:cs="仿宋_GB2312"/>
                <w:i w:val="0"/>
                <w:iCs w:val="0"/>
                <w:color w:val="000000"/>
                <w:sz w:val="32"/>
                <w:szCs w:val="32"/>
                <w:u w:val="none"/>
              </w:rPr>
            </w:pPr>
          </w:p>
        </w:tc>
        <w:tc>
          <w:tcPr>
            <w:tcW w:w="39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20" w:lineRule="exact"/>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规划建设方向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807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20" w:lineRule="exact"/>
              <w:jc w:val="center"/>
              <w:textAlignment w:val="center"/>
              <w:rPr>
                <w:rFonts w:hint="eastAsia" w:ascii="楷体_GB2312" w:hAnsi="宋体" w:eastAsia="楷体_GB2312" w:cs="楷体_GB2312"/>
                <w:i w:val="0"/>
                <w:iCs w:val="0"/>
                <w:color w:val="000000"/>
                <w:kern w:val="0"/>
                <w:sz w:val="32"/>
                <w:szCs w:val="32"/>
                <w:u w:val="none"/>
                <w:lang w:val="en-US" w:eastAsia="zh-CN" w:bidi="ar"/>
              </w:rPr>
            </w:pPr>
            <w:r>
              <w:rPr>
                <w:rFonts w:hint="eastAsia" w:ascii="楷体_GB2312" w:hAnsi="宋体" w:eastAsia="楷体_GB2312" w:cs="楷体_GB2312"/>
                <w:i w:val="0"/>
                <w:iCs w:val="0"/>
                <w:color w:val="000000"/>
                <w:kern w:val="0"/>
                <w:sz w:val="32"/>
                <w:szCs w:val="32"/>
                <w:u w:val="none"/>
                <w:lang w:val="en-US" w:eastAsia="zh-CN" w:bidi="ar"/>
              </w:rPr>
              <w:t>前海建投集团</w:t>
            </w:r>
          </w:p>
          <w:p>
            <w:pPr>
              <w:keepNext w:val="0"/>
              <w:keepLines w:val="0"/>
              <w:widowControl/>
              <w:suppressLineNumbers w:val="0"/>
              <w:spacing w:line="520" w:lineRule="exact"/>
              <w:jc w:val="center"/>
              <w:textAlignment w:val="center"/>
              <w:rPr>
                <w:rFonts w:hint="eastAsia" w:ascii="楷体_GB2312" w:hAnsi="宋体" w:eastAsia="楷体_GB2312" w:cs="楷体_GB2312"/>
                <w:i w:val="0"/>
                <w:iCs w:val="0"/>
                <w:color w:val="000000"/>
                <w:sz w:val="32"/>
                <w:szCs w:val="32"/>
                <w:u w:val="none"/>
              </w:rPr>
            </w:pPr>
            <w:r>
              <w:rPr>
                <w:rFonts w:hint="eastAsia" w:ascii="仿宋_GB2312" w:hAnsi="仿宋" w:eastAsia="仿宋_GB2312" w:cs="仿宋"/>
                <w:sz w:val="28"/>
                <w:szCs w:val="28"/>
                <w:highlight w:val="none"/>
              </w:rPr>
              <w:t>（</w:t>
            </w:r>
            <w:r>
              <w:rPr>
                <w:rFonts w:hint="eastAsia" w:ascii="仿宋_GB2312" w:hAnsi="仿宋" w:eastAsia="仿宋_GB2312" w:cs="仿宋"/>
                <w:sz w:val="28"/>
                <w:szCs w:val="28"/>
                <w:highlight w:val="none"/>
                <w:lang w:eastAsia="zh-CN"/>
              </w:rPr>
              <w:t>具体岗位信息见</w:t>
            </w:r>
            <w:r>
              <w:rPr>
                <w:rFonts w:hint="eastAsia" w:ascii="仿宋_GB2312" w:hAnsi="仿宋" w:eastAsia="仿宋_GB2312" w:cs="仿宋"/>
                <w:b/>
                <w:bCs/>
                <w:sz w:val="28"/>
                <w:szCs w:val="28"/>
                <w:highlight w:val="none"/>
                <w:lang w:eastAsia="zh-CN"/>
              </w:rPr>
              <w:t>附件</w:t>
            </w:r>
            <w:r>
              <w:rPr>
                <w:rFonts w:hint="eastAsia" w:ascii="仿宋_GB2312" w:hAnsi="仿宋" w:eastAsia="仿宋_GB2312" w:cs="仿宋"/>
                <w:b/>
                <w:bCs/>
                <w:sz w:val="28"/>
                <w:szCs w:val="28"/>
                <w:highlight w:val="none"/>
                <w:lang w:val="en-US" w:eastAsia="zh-CN"/>
              </w:rPr>
              <w:t>3</w:t>
            </w:r>
            <w:r>
              <w:rPr>
                <w:rFonts w:hint="eastAsia" w:ascii="仿宋_GB2312" w:hAnsi="仿宋" w:eastAsia="仿宋_GB2312" w:cs="仿宋"/>
                <w:sz w:val="28"/>
                <w:szCs w:val="28"/>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41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20" w:lineRule="exact"/>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 xml:space="preserve"> 专业职能类岗位</w:t>
            </w:r>
          </w:p>
        </w:tc>
        <w:tc>
          <w:tcPr>
            <w:tcW w:w="394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520" w:lineRule="exact"/>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设计类岗位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761"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spacing w:line="520" w:lineRule="exact"/>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工程类岗位</w:t>
            </w:r>
          </w:p>
        </w:tc>
        <w:tc>
          <w:tcPr>
            <w:tcW w:w="249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20" w:lineRule="exact"/>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成本类岗位</w:t>
            </w:r>
          </w:p>
        </w:tc>
        <w:tc>
          <w:tcPr>
            <w:tcW w:w="28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520" w:lineRule="exact"/>
              <w:jc w:val="center"/>
              <w:textAlignment w:val="center"/>
              <w:rPr>
                <w:rFonts w:hint="eastAsia" w:ascii="仿宋_GB2312" w:hAnsi="宋体" w:eastAsia="仿宋_GB2312" w:cs="仿宋_GB2312"/>
                <w:i w:val="0"/>
                <w:iCs w:val="0"/>
                <w:color w:val="000000"/>
                <w:sz w:val="32"/>
                <w:szCs w:val="32"/>
                <w:u w:val="none"/>
              </w:rPr>
            </w:pPr>
            <w:r>
              <w:rPr>
                <w:rFonts w:hint="eastAsia" w:ascii="仿宋_GB2312" w:hAnsi="宋体" w:eastAsia="仿宋_GB2312" w:cs="仿宋_GB2312"/>
                <w:i w:val="0"/>
                <w:iCs w:val="0"/>
                <w:color w:val="000000"/>
                <w:kern w:val="0"/>
                <w:sz w:val="32"/>
                <w:szCs w:val="32"/>
                <w:u w:val="none"/>
                <w:lang w:val="en-US" w:eastAsia="zh-CN" w:bidi="ar"/>
              </w:rPr>
              <w:t>运营类岗位</w:t>
            </w:r>
          </w:p>
        </w:tc>
      </w:tr>
    </w:tbl>
    <w:p>
      <w:pPr>
        <w:pStyle w:val="5"/>
        <w:widowControl/>
        <w:numPr>
          <w:ilvl w:val="0"/>
          <w:numId w:val="1"/>
        </w:numPr>
        <w:spacing w:beforeAutospacing="0" w:afterAutospacing="0" w:line="580" w:lineRule="exact"/>
        <w:ind w:firstLine="640" w:firstLineChars="200"/>
        <w:jc w:val="both"/>
        <w:rPr>
          <w:rFonts w:ascii="黑体" w:hAnsi="黑体" w:eastAsia="黑体" w:cs="黑体"/>
          <w:sz w:val="32"/>
          <w:szCs w:val="32"/>
          <w:highlight w:val="none"/>
        </w:rPr>
      </w:pPr>
      <w:r>
        <w:rPr>
          <w:rFonts w:hint="eastAsia" w:ascii="黑体" w:hAnsi="黑体" w:eastAsia="黑体" w:cs="黑体"/>
          <w:sz w:val="32"/>
          <w:szCs w:val="32"/>
          <w:highlight w:val="none"/>
        </w:rPr>
        <w:t>报名要求</w:t>
      </w:r>
    </w:p>
    <w:p>
      <w:pPr>
        <w:spacing w:line="580" w:lineRule="exact"/>
        <w:ind w:firstLine="640" w:firstLineChars="200"/>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本次招聘面向全球公开招募，欢迎国际</w:t>
      </w:r>
      <w:r>
        <w:rPr>
          <w:rFonts w:hint="eastAsia" w:ascii="仿宋_GB2312" w:hAnsi="仿宋" w:eastAsia="仿宋_GB2312" w:cs="仿宋"/>
          <w:sz w:val="32"/>
          <w:szCs w:val="32"/>
          <w:highlight w:val="none"/>
          <w:lang w:val="en-US" w:eastAsia="zh-CN"/>
        </w:rPr>
        <w:t>化</w:t>
      </w:r>
      <w:r>
        <w:rPr>
          <w:rFonts w:hint="eastAsia" w:ascii="仿宋_GB2312" w:hAnsi="仿宋" w:eastAsia="仿宋_GB2312" w:cs="仿宋"/>
          <w:sz w:val="32"/>
          <w:szCs w:val="32"/>
          <w:highlight w:val="none"/>
        </w:rPr>
        <w:t>人才特别是港澳人才踊跃报名。除各岗位要求的任职条件外，报名人员应当符合以下基本资格条件：</w:t>
      </w:r>
    </w:p>
    <w:p>
      <w:pPr>
        <w:numPr>
          <w:ilvl w:val="-1"/>
          <w:numId w:val="0"/>
        </w:numPr>
        <w:spacing w:line="580" w:lineRule="exact"/>
        <w:ind w:firstLine="640" w:firstLineChars="200"/>
        <w:rPr>
          <w:rFonts w:hint="eastAsia" w:ascii="仿宋_GB2312" w:hAnsi="仿宋" w:eastAsia="仿宋_GB2312" w:cs="仿宋"/>
          <w:sz w:val="32"/>
          <w:szCs w:val="32"/>
          <w:highlight w:val="none"/>
          <w:lang w:val="en-US" w:eastAsia="zh-CN"/>
        </w:rPr>
      </w:pPr>
      <w:r>
        <w:rPr>
          <w:rFonts w:hint="eastAsia" w:ascii="仿宋_GB2312" w:hAnsi="仿宋" w:eastAsia="仿宋_GB2312" w:cs="仿宋"/>
          <w:sz w:val="32"/>
          <w:szCs w:val="32"/>
          <w:highlight w:val="none"/>
          <w:lang w:val="en-US" w:eastAsia="zh-CN"/>
        </w:rPr>
        <w:t>（一）遵守中华人民共和国宪法和法律法规，拥护中国共产党领导和社会主义制度；</w:t>
      </w:r>
    </w:p>
    <w:p>
      <w:pPr>
        <w:numPr>
          <w:ilvl w:val="-1"/>
          <w:numId w:val="0"/>
        </w:numPr>
        <w:spacing w:line="580" w:lineRule="exact"/>
        <w:ind w:firstLine="640" w:firstLineChars="200"/>
        <w:rPr>
          <w:rFonts w:hint="eastAsia" w:ascii="仿宋_GB2312" w:hAnsi="仿宋" w:eastAsia="仿宋_GB2312" w:cs="仿宋"/>
          <w:sz w:val="32"/>
          <w:szCs w:val="32"/>
          <w:highlight w:val="none"/>
          <w:lang w:val="en-US" w:eastAsia="zh-CN"/>
        </w:rPr>
      </w:pPr>
      <w:r>
        <w:rPr>
          <w:rFonts w:hint="eastAsia" w:ascii="仿宋_GB2312" w:hAnsi="仿宋" w:eastAsia="仿宋_GB2312" w:cs="仿宋"/>
          <w:sz w:val="32"/>
          <w:szCs w:val="32"/>
          <w:highlight w:val="none"/>
          <w:lang w:val="en-US" w:eastAsia="zh-CN"/>
        </w:rPr>
        <w:t>（二）港澳人士须坚定拥护“一国两制”方针，以真挚的爱国热忱、敢为人先的精神投身国家改革开放事业；</w:t>
      </w:r>
    </w:p>
    <w:p>
      <w:pPr>
        <w:numPr>
          <w:ilvl w:val="-1"/>
          <w:numId w:val="0"/>
        </w:numPr>
        <w:spacing w:line="580" w:lineRule="exact"/>
        <w:ind w:firstLine="640" w:firstLineChars="200"/>
        <w:rPr>
          <w:rFonts w:hint="eastAsia" w:ascii="仿宋_GB2312" w:hAnsi="仿宋" w:eastAsia="仿宋_GB2312" w:cs="仿宋"/>
          <w:sz w:val="32"/>
          <w:szCs w:val="32"/>
          <w:highlight w:val="none"/>
          <w:lang w:val="en-US" w:eastAsia="zh-CN"/>
        </w:rPr>
      </w:pPr>
      <w:r>
        <w:rPr>
          <w:rFonts w:hint="eastAsia" w:ascii="仿宋_GB2312" w:hAnsi="仿宋" w:eastAsia="仿宋_GB2312" w:cs="仿宋"/>
          <w:sz w:val="32"/>
          <w:szCs w:val="32"/>
          <w:highlight w:val="none"/>
          <w:lang w:val="en-US" w:eastAsia="zh-CN"/>
        </w:rPr>
        <w:t>（三）外籍人士须尊重中国人民自主选择的发展道路、制度安排以及民族感情、文化习俗；</w:t>
      </w:r>
    </w:p>
    <w:p>
      <w:pPr>
        <w:numPr>
          <w:ilvl w:val="-1"/>
          <w:numId w:val="0"/>
        </w:numPr>
        <w:spacing w:line="580" w:lineRule="exact"/>
        <w:ind w:firstLine="640" w:firstLineChars="200"/>
        <w:rPr>
          <w:rFonts w:hint="eastAsia" w:ascii="仿宋_GB2312" w:hAnsi="仿宋" w:eastAsia="仿宋_GB2312" w:cs="仿宋"/>
          <w:sz w:val="32"/>
          <w:szCs w:val="32"/>
          <w:highlight w:val="yellow"/>
          <w:lang w:val="en-US" w:eastAsia="zh-CN"/>
        </w:rPr>
      </w:pPr>
      <w:r>
        <w:rPr>
          <w:rFonts w:hint="eastAsia" w:ascii="仿宋_GB2312" w:hAnsi="仿宋" w:eastAsia="仿宋_GB2312" w:cs="仿宋"/>
          <w:sz w:val="32"/>
          <w:szCs w:val="32"/>
          <w:highlight w:val="none"/>
          <w:lang w:val="en-US" w:eastAsia="zh-CN"/>
        </w:rPr>
        <w:t>（四）国（境）内外高校应届优秀毕业生，2023年1月至2024年7月期间毕业，取得硕士研究生及以上学历（国内院校以毕业证、学位证，海外院校以学位证时间为准，留学归国人员需取得教育部留学服务中心出具的国外学历学位认证书）；报考博士后研究人员岗位的，须为近3年在国（境）内外知名院校取得博士学位或当年即将获得博士学位（博士培养单位出具证明，进站前能获得博士学位)的人员，以及从其他博士后设站单位出站的博士后;</w:t>
      </w:r>
    </w:p>
    <w:p>
      <w:pPr>
        <w:numPr>
          <w:ilvl w:val="-1"/>
          <w:numId w:val="0"/>
        </w:numPr>
        <w:spacing w:line="580" w:lineRule="exact"/>
        <w:ind w:firstLine="640" w:firstLineChars="200"/>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（五）大学在校期间无补考记录，学习成绩突出；</w:t>
      </w:r>
    </w:p>
    <w:p>
      <w:pPr>
        <w:numPr>
          <w:ilvl w:val="-1"/>
          <w:numId w:val="0"/>
        </w:numPr>
        <w:spacing w:line="580" w:lineRule="exact"/>
        <w:ind w:firstLine="640" w:firstLineChars="200"/>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（六）具有良好的政治素质和道德品行；</w:t>
      </w:r>
    </w:p>
    <w:p>
      <w:pPr>
        <w:numPr>
          <w:ilvl w:val="-1"/>
          <w:numId w:val="0"/>
        </w:numPr>
        <w:spacing w:line="580" w:lineRule="exact"/>
        <w:ind w:firstLine="640" w:firstLineChars="200"/>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（七）遵纪守法，诚实守信，学习能力突出，有良好的国际视野，改革创新、沟通表达、组织协调及综合分析能力强；</w:t>
      </w:r>
    </w:p>
    <w:p>
      <w:pPr>
        <w:numPr>
          <w:ilvl w:val="-1"/>
          <w:numId w:val="0"/>
        </w:numPr>
        <w:spacing w:line="580" w:lineRule="exact"/>
        <w:ind w:firstLine="640" w:firstLineChars="200"/>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（八）具有正常履行职责的身体条件和心理素质；</w:t>
      </w:r>
    </w:p>
    <w:p>
      <w:pPr>
        <w:numPr>
          <w:ilvl w:val="-1"/>
          <w:numId w:val="0"/>
        </w:numPr>
        <w:spacing w:line="580" w:lineRule="exact"/>
        <w:ind w:firstLine="640" w:firstLineChars="200"/>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（九）报考专门面向港澳人士岗位人员须为香港特别行政区、澳门特别行政区永久性居民中无外国居留权的中国公民；</w:t>
      </w:r>
    </w:p>
    <w:p>
      <w:pPr>
        <w:numPr>
          <w:ilvl w:val="-1"/>
          <w:numId w:val="0"/>
        </w:numPr>
        <w:spacing w:line="580" w:lineRule="exact"/>
        <w:ind w:firstLine="640" w:firstLineChars="200"/>
        <w:rPr>
          <w:rFonts w:hint="eastAsia" w:ascii="仿宋_GB2312" w:hAnsi="仿宋" w:eastAsia="仿宋_GB2312" w:cs="仿宋"/>
          <w:sz w:val="32"/>
          <w:szCs w:val="32"/>
          <w:highlight w:val="none"/>
          <w:lang w:val="en-US" w:eastAsia="zh-CN"/>
        </w:rPr>
      </w:pPr>
      <w:r>
        <w:rPr>
          <w:rFonts w:hint="eastAsia" w:ascii="仿宋_GB2312" w:hAnsi="仿宋" w:eastAsia="仿宋_GB2312" w:cs="仿宋"/>
          <w:sz w:val="32"/>
          <w:szCs w:val="32"/>
          <w:highlight w:val="none"/>
        </w:rPr>
        <w:t>（十）符合报名岗位要求的其他任职条件。</w:t>
      </w:r>
    </w:p>
    <w:p>
      <w:pPr>
        <w:spacing w:line="580" w:lineRule="exact"/>
        <w:ind w:firstLine="640" w:firstLineChars="200"/>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有下列情况之一的，不接受报名：</w:t>
      </w:r>
    </w:p>
    <w:p>
      <w:pPr>
        <w:spacing w:line="580" w:lineRule="exact"/>
        <w:ind w:firstLine="640" w:firstLineChars="200"/>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（一）因犯罪受过刑事处罚的；</w:t>
      </w:r>
    </w:p>
    <w:p>
      <w:pPr>
        <w:spacing w:line="580" w:lineRule="exact"/>
        <w:ind w:firstLine="640" w:firstLineChars="200"/>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（二）被开除中国共产党党籍的；</w:t>
      </w:r>
    </w:p>
    <w:p>
      <w:pPr>
        <w:spacing w:line="580" w:lineRule="exact"/>
        <w:ind w:firstLine="640" w:firstLineChars="200"/>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（三）被依法列为失信联合惩戒对象的；</w:t>
      </w:r>
    </w:p>
    <w:p>
      <w:pPr>
        <w:spacing w:line="580" w:lineRule="exact"/>
        <w:ind w:firstLine="640" w:firstLineChars="200"/>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（四）涉嫌违纪违法正在接受有关机关审查尚未作出结论的；</w:t>
      </w:r>
    </w:p>
    <w:p>
      <w:pPr>
        <w:spacing w:line="580" w:lineRule="exact"/>
        <w:ind w:firstLine="640" w:firstLineChars="200"/>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（五）大学在校期间曾受过纪律处分的；</w:t>
      </w:r>
    </w:p>
    <w:p>
      <w:pPr>
        <w:spacing w:line="580" w:lineRule="exact"/>
        <w:ind w:firstLine="640" w:firstLineChars="200"/>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（六）录用后即出现违反回避规定情形的；</w:t>
      </w:r>
    </w:p>
    <w:p>
      <w:pPr>
        <w:spacing w:line="580" w:lineRule="exact"/>
        <w:ind w:firstLine="640" w:firstLineChars="200"/>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（七）有法律规定的其他情形的。</w:t>
      </w:r>
    </w:p>
    <w:p>
      <w:pPr>
        <w:pStyle w:val="5"/>
        <w:widowControl/>
        <w:numPr>
          <w:ilvl w:val="0"/>
          <w:numId w:val="1"/>
        </w:numPr>
        <w:spacing w:beforeAutospacing="0" w:afterAutospacing="0" w:line="580" w:lineRule="exact"/>
        <w:ind w:firstLine="640" w:firstLineChars="200"/>
        <w:jc w:val="both"/>
        <w:rPr>
          <w:rFonts w:ascii="黑体" w:hAnsi="黑体" w:eastAsia="黑体" w:cs="黑体"/>
          <w:sz w:val="32"/>
          <w:szCs w:val="32"/>
          <w:highlight w:val="none"/>
        </w:rPr>
      </w:pPr>
      <w:r>
        <w:rPr>
          <w:rFonts w:hint="eastAsia" w:ascii="黑体" w:hAnsi="黑体" w:eastAsia="黑体" w:cs="黑体"/>
          <w:sz w:val="32"/>
          <w:szCs w:val="32"/>
          <w:highlight w:val="none"/>
          <w:lang w:eastAsia="zh-CN"/>
        </w:rPr>
        <w:t>宣讲安排</w:t>
      </w:r>
    </w:p>
    <w:tbl>
      <w:tblPr>
        <w:tblStyle w:val="6"/>
        <w:tblW w:w="8081" w:type="dxa"/>
        <w:tblInd w:w="0" w:type="dxa"/>
        <w:tblLayout w:type="fixed"/>
        <w:tblCellMar>
          <w:top w:w="0" w:type="dxa"/>
          <w:left w:w="0" w:type="dxa"/>
          <w:bottom w:w="0" w:type="dxa"/>
          <w:right w:w="0" w:type="dxa"/>
        </w:tblCellMar>
      </w:tblPr>
      <w:tblGrid>
        <w:gridCol w:w="1923"/>
        <w:gridCol w:w="2759"/>
        <w:gridCol w:w="3399"/>
      </w:tblGrid>
      <w:tr>
        <w:tblPrEx>
          <w:tblCellMar>
            <w:top w:w="0" w:type="dxa"/>
            <w:left w:w="0" w:type="dxa"/>
            <w:bottom w:w="0" w:type="dxa"/>
            <w:right w:w="0" w:type="dxa"/>
          </w:tblCellMar>
        </w:tblPrEx>
        <w:trPr>
          <w:trHeight w:val="578" w:hRule="atLeast"/>
        </w:trPr>
        <w:tc>
          <w:tcPr>
            <w:tcW w:w="192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580" w:lineRule="exact"/>
              <w:jc w:val="center"/>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宣讲城市</w:t>
            </w:r>
          </w:p>
        </w:tc>
        <w:tc>
          <w:tcPr>
            <w:tcW w:w="27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580" w:lineRule="exact"/>
              <w:jc w:val="center"/>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宣讲时间</w:t>
            </w:r>
          </w:p>
        </w:tc>
        <w:tc>
          <w:tcPr>
            <w:tcW w:w="3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580" w:lineRule="exact"/>
              <w:jc w:val="center"/>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宣讲院校</w:t>
            </w:r>
          </w:p>
        </w:tc>
      </w:tr>
      <w:tr>
        <w:tblPrEx>
          <w:tblCellMar>
            <w:top w:w="0" w:type="dxa"/>
            <w:left w:w="0" w:type="dxa"/>
            <w:bottom w:w="0" w:type="dxa"/>
            <w:right w:w="0" w:type="dxa"/>
          </w:tblCellMar>
        </w:tblPrEx>
        <w:trPr>
          <w:trHeight w:val="578" w:hRule="atLeast"/>
        </w:trPr>
        <w:tc>
          <w:tcPr>
            <w:tcW w:w="1923" w:type="dxa"/>
            <w:vMerge w:val="restart"/>
            <w:tcBorders>
              <w:top w:val="single" w:color="000000" w:sz="4" w:space="0"/>
              <w:left w:val="single" w:color="000000" w:sz="4" w:space="0"/>
              <w:right w:val="single" w:color="000000" w:sz="4" w:space="0"/>
            </w:tcBorders>
            <w:shd w:val="clear" w:color="auto" w:fill="auto"/>
            <w:noWrap/>
            <w:tcMar>
              <w:top w:w="15" w:type="dxa"/>
              <w:left w:w="15" w:type="dxa"/>
              <w:right w:w="15" w:type="dxa"/>
            </w:tcMar>
            <w:vAlign w:val="center"/>
          </w:tcPr>
          <w:p>
            <w:pPr>
              <w:spacing w:line="580" w:lineRule="exact"/>
              <w:jc w:val="center"/>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北京</w:t>
            </w:r>
          </w:p>
        </w:tc>
        <w:tc>
          <w:tcPr>
            <w:tcW w:w="27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580" w:lineRule="exact"/>
              <w:jc w:val="center"/>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11月1</w:t>
            </w:r>
            <w:r>
              <w:rPr>
                <w:rFonts w:hint="eastAsia" w:ascii="仿宋_GB2312" w:hAnsi="仿宋" w:eastAsia="仿宋_GB2312" w:cs="仿宋"/>
                <w:sz w:val="32"/>
                <w:szCs w:val="32"/>
                <w:highlight w:val="none"/>
                <w:lang w:eastAsia="zh-CN"/>
              </w:rPr>
              <w:t>3</w:t>
            </w:r>
            <w:r>
              <w:rPr>
                <w:rFonts w:hint="eastAsia" w:ascii="仿宋_GB2312" w:hAnsi="仿宋" w:eastAsia="仿宋_GB2312" w:cs="仿宋"/>
                <w:sz w:val="32"/>
                <w:szCs w:val="32"/>
                <w:highlight w:val="none"/>
              </w:rPr>
              <w:t>日 19:00</w:t>
            </w:r>
          </w:p>
        </w:tc>
        <w:tc>
          <w:tcPr>
            <w:tcW w:w="3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580" w:lineRule="exact"/>
              <w:jc w:val="center"/>
              <w:rPr>
                <w:rFonts w:ascii="仿宋_GB2312" w:hAnsi="仿宋" w:eastAsia="仿宋_GB2312" w:cs="仿宋"/>
                <w:sz w:val="32"/>
                <w:szCs w:val="32"/>
                <w:highlight w:val="none"/>
              </w:rPr>
            </w:pPr>
            <w:r>
              <w:rPr>
                <w:rFonts w:hint="eastAsia" w:ascii="仿宋_GB2312" w:hAnsi="仿宋" w:eastAsia="仿宋_GB2312" w:cs="仿宋"/>
                <w:sz w:val="32"/>
                <w:szCs w:val="32"/>
                <w:highlight w:val="none"/>
                <w:lang w:eastAsia="zh-CN"/>
              </w:rPr>
              <w:t>清华</w:t>
            </w:r>
            <w:r>
              <w:rPr>
                <w:rFonts w:hint="eastAsia" w:ascii="仿宋_GB2312" w:hAnsi="仿宋" w:eastAsia="仿宋_GB2312" w:cs="仿宋"/>
                <w:sz w:val="32"/>
                <w:szCs w:val="32"/>
                <w:highlight w:val="none"/>
              </w:rPr>
              <w:t>大学</w:t>
            </w:r>
          </w:p>
        </w:tc>
      </w:tr>
      <w:tr>
        <w:tblPrEx>
          <w:tblCellMar>
            <w:top w:w="0" w:type="dxa"/>
            <w:left w:w="0" w:type="dxa"/>
            <w:bottom w:w="0" w:type="dxa"/>
            <w:right w:w="0" w:type="dxa"/>
          </w:tblCellMar>
        </w:tblPrEx>
        <w:trPr>
          <w:trHeight w:val="578" w:hRule="atLeast"/>
        </w:trPr>
        <w:tc>
          <w:tcPr>
            <w:tcW w:w="1923" w:type="dxa"/>
            <w:vMerge w:val="continue"/>
            <w:tcBorders>
              <w:left w:val="single" w:color="000000" w:sz="4" w:space="0"/>
              <w:right w:val="single" w:color="000000" w:sz="4" w:space="0"/>
            </w:tcBorders>
            <w:shd w:val="clear" w:color="auto" w:fill="auto"/>
            <w:noWrap/>
            <w:tcMar>
              <w:top w:w="15" w:type="dxa"/>
              <w:left w:w="15" w:type="dxa"/>
              <w:right w:w="15" w:type="dxa"/>
            </w:tcMar>
            <w:vAlign w:val="center"/>
          </w:tcPr>
          <w:p>
            <w:pPr>
              <w:spacing w:line="580" w:lineRule="exact"/>
              <w:ind w:firstLine="640" w:firstLineChars="200"/>
              <w:jc w:val="center"/>
              <w:rPr>
                <w:rFonts w:ascii="仿宋_GB2312" w:hAnsi="仿宋" w:eastAsia="仿宋_GB2312" w:cs="仿宋"/>
                <w:sz w:val="32"/>
                <w:szCs w:val="32"/>
                <w:highlight w:val="none"/>
              </w:rPr>
            </w:pPr>
          </w:p>
        </w:tc>
        <w:tc>
          <w:tcPr>
            <w:tcW w:w="275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580" w:lineRule="exact"/>
              <w:jc w:val="center"/>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11月1</w:t>
            </w:r>
            <w:r>
              <w:rPr>
                <w:rFonts w:hint="eastAsia" w:ascii="仿宋_GB2312" w:hAnsi="仿宋" w:eastAsia="仿宋_GB2312" w:cs="仿宋"/>
                <w:sz w:val="32"/>
                <w:szCs w:val="32"/>
                <w:highlight w:val="none"/>
                <w:lang w:eastAsia="zh-CN"/>
              </w:rPr>
              <w:t>4</w:t>
            </w:r>
            <w:r>
              <w:rPr>
                <w:rFonts w:hint="eastAsia" w:ascii="仿宋_GB2312" w:hAnsi="仿宋" w:eastAsia="仿宋_GB2312" w:cs="仿宋"/>
                <w:sz w:val="32"/>
                <w:szCs w:val="32"/>
                <w:highlight w:val="none"/>
              </w:rPr>
              <w:t>日 1</w:t>
            </w:r>
            <w:r>
              <w:rPr>
                <w:rFonts w:hint="eastAsia" w:ascii="仿宋_GB2312" w:hAnsi="仿宋" w:eastAsia="仿宋_GB2312" w:cs="仿宋"/>
                <w:sz w:val="32"/>
                <w:szCs w:val="32"/>
                <w:highlight w:val="none"/>
                <w:lang w:val="en-US" w:eastAsia="zh-CN"/>
              </w:rPr>
              <w:t>4</w:t>
            </w:r>
            <w:r>
              <w:rPr>
                <w:rFonts w:hint="eastAsia" w:ascii="仿宋_GB2312" w:hAnsi="仿宋" w:eastAsia="仿宋_GB2312" w:cs="仿宋"/>
                <w:sz w:val="32"/>
                <w:szCs w:val="32"/>
                <w:highlight w:val="none"/>
              </w:rPr>
              <w:t>:00</w:t>
            </w:r>
          </w:p>
        </w:tc>
        <w:tc>
          <w:tcPr>
            <w:tcW w:w="3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580" w:lineRule="exact"/>
              <w:jc w:val="center"/>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中国人民大学</w:t>
            </w:r>
          </w:p>
        </w:tc>
      </w:tr>
      <w:tr>
        <w:tblPrEx>
          <w:tblCellMar>
            <w:top w:w="0" w:type="dxa"/>
            <w:left w:w="0" w:type="dxa"/>
            <w:bottom w:w="0" w:type="dxa"/>
            <w:right w:w="0" w:type="dxa"/>
          </w:tblCellMar>
        </w:tblPrEx>
        <w:trPr>
          <w:trHeight w:val="578" w:hRule="atLeast"/>
        </w:trPr>
        <w:tc>
          <w:tcPr>
            <w:tcW w:w="1923" w:type="dxa"/>
            <w:vMerge w:val="continue"/>
            <w:tcBorders>
              <w:left w:val="single" w:color="000000" w:sz="4" w:space="0"/>
              <w:bottom w:val="single" w:color="auto" w:sz="4" w:space="0"/>
              <w:right w:val="single" w:color="000000" w:sz="4" w:space="0"/>
            </w:tcBorders>
            <w:shd w:val="clear" w:color="auto" w:fill="auto"/>
            <w:noWrap/>
            <w:tcMar>
              <w:top w:w="15" w:type="dxa"/>
              <w:left w:w="15" w:type="dxa"/>
              <w:right w:w="15" w:type="dxa"/>
            </w:tcMar>
            <w:vAlign w:val="center"/>
          </w:tcPr>
          <w:p>
            <w:pPr>
              <w:spacing w:line="580" w:lineRule="exact"/>
              <w:ind w:firstLine="640" w:firstLineChars="200"/>
              <w:jc w:val="center"/>
              <w:rPr>
                <w:rFonts w:ascii="仿宋_GB2312" w:hAnsi="仿宋" w:eastAsia="仿宋_GB2312" w:cs="仿宋"/>
                <w:sz w:val="32"/>
                <w:szCs w:val="32"/>
                <w:highlight w:val="none"/>
              </w:rPr>
            </w:pPr>
          </w:p>
        </w:tc>
        <w:tc>
          <w:tcPr>
            <w:tcW w:w="2759"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spacing w:line="580" w:lineRule="exact"/>
              <w:jc w:val="center"/>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11月1</w:t>
            </w:r>
            <w:r>
              <w:rPr>
                <w:rFonts w:hint="eastAsia" w:ascii="仿宋_GB2312" w:hAnsi="仿宋" w:eastAsia="仿宋_GB2312" w:cs="仿宋"/>
                <w:sz w:val="32"/>
                <w:szCs w:val="32"/>
                <w:highlight w:val="none"/>
                <w:lang w:eastAsia="zh-CN"/>
              </w:rPr>
              <w:t>4</w:t>
            </w:r>
            <w:r>
              <w:rPr>
                <w:rFonts w:hint="eastAsia" w:ascii="仿宋_GB2312" w:hAnsi="仿宋" w:eastAsia="仿宋_GB2312" w:cs="仿宋"/>
                <w:sz w:val="32"/>
                <w:szCs w:val="32"/>
                <w:highlight w:val="none"/>
              </w:rPr>
              <w:t>日 19:00</w:t>
            </w:r>
          </w:p>
        </w:tc>
        <w:tc>
          <w:tcPr>
            <w:tcW w:w="3399" w:type="dxa"/>
            <w:tcBorders>
              <w:top w:val="single" w:color="000000" w:sz="4" w:space="0"/>
              <w:left w:val="single" w:color="000000" w:sz="4" w:space="0"/>
              <w:bottom w:val="single" w:color="auto" w:sz="4" w:space="0"/>
              <w:right w:val="single" w:color="000000" w:sz="4" w:space="0"/>
            </w:tcBorders>
            <w:shd w:val="clear" w:color="auto" w:fill="auto"/>
            <w:tcMar>
              <w:top w:w="15" w:type="dxa"/>
              <w:left w:w="15" w:type="dxa"/>
              <w:right w:w="15" w:type="dxa"/>
            </w:tcMar>
            <w:vAlign w:val="center"/>
          </w:tcPr>
          <w:p>
            <w:pPr>
              <w:spacing w:line="580" w:lineRule="exact"/>
              <w:jc w:val="center"/>
              <w:rPr>
                <w:rFonts w:ascii="仿宋_GB2312" w:hAnsi="仿宋" w:eastAsia="仿宋_GB2312" w:cs="仿宋"/>
                <w:sz w:val="32"/>
                <w:szCs w:val="32"/>
                <w:highlight w:val="none"/>
              </w:rPr>
            </w:pPr>
            <w:r>
              <w:rPr>
                <w:rFonts w:hint="eastAsia" w:ascii="仿宋_GB2312" w:hAnsi="仿宋" w:eastAsia="仿宋_GB2312" w:cs="仿宋"/>
                <w:sz w:val="32"/>
                <w:szCs w:val="32"/>
                <w:highlight w:val="none"/>
                <w:lang w:eastAsia="zh-CN"/>
              </w:rPr>
              <w:t>北京</w:t>
            </w:r>
            <w:r>
              <w:rPr>
                <w:rFonts w:hint="eastAsia" w:ascii="仿宋_GB2312" w:hAnsi="仿宋" w:eastAsia="仿宋_GB2312" w:cs="仿宋"/>
                <w:sz w:val="32"/>
                <w:szCs w:val="32"/>
                <w:highlight w:val="none"/>
              </w:rPr>
              <w:t>大学</w:t>
            </w:r>
          </w:p>
        </w:tc>
      </w:tr>
      <w:tr>
        <w:tblPrEx>
          <w:tblCellMar>
            <w:top w:w="0" w:type="dxa"/>
            <w:left w:w="0" w:type="dxa"/>
            <w:bottom w:w="0" w:type="dxa"/>
            <w:right w:w="0" w:type="dxa"/>
          </w:tblCellMar>
        </w:tblPrEx>
        <w:trPr>
          <w:trHeight w:val="578" w:hRule="atLeast"/>
        </w:trPr>
        <w:tc>
          <w:tcPr>
            <w:tcW w:w="192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580" w:lineRule="exact"/>
              <w:ind w:firstLine="0" w:firstLineChars="0"/>
              <w:jc w:val="center"/>
              <w:rPr>
                <w:rFonts w:hint="eastAsia" w:ascii="仿宋_GB2312" w:hAnsi="仿宋" w:eastAsia="仿宋_GB2312" w:cs="仿宋"/>
                <w:kern w:val="2"/>
                <w:sz w:val="32"/>
                <w:szCs w:val="32"/>
                <w:highlight w:val="none"/>
                <w:lang w:val="en-US" w:eastAsia="zh-CN" w:bidi="ar-SA"/>
              </w:rPr>
            </w:pPr>
            <w:r>
              <w:rPr>
                <w:rFonts w:hint="eastAsia" w:ascii="仿宋_GB2312" w:hAnsi="仿宋" w:eastAsia="仿宋_GB2312" w:cs="仿宋"/>
                <w:sz w:val="32"/>
                <w:szCs w:val="32"/>
                <w:highlight w:val="none"/>
                <w:lang w:val="en-US" w:eastAsia="zh-CN"/>
              </w:rPr>
              <w:t>上海</w:t>
            </w:r>
          </w:p>
        </w:tc>
        <w:tc>
          <w:tcPr>
            <w:tcW w:w="275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580" w:lineRule="exact"/>
              <w:jc w:val="center"/>
              <w:rPr>
                <w:rFonts w:hint="eastAsia" w:ascii="仿宋_GB2312" w:hAnsi="仿宋" w:eastAsia="仿宋_GB2312" w:cs="仿宋"/>
                <w:kern w:val="2"/>
                <w:sz w:val="32"/>
                <w:szCs w:val="32"/>
                <w:highlight w:val="none"/>
                <w:lang w:val="en-US" w:eastAsia="zh-CN" w:bidi="ar-SA"/>
              </w:rPr>
            </w:pPr>
            <w:r>
              <w:rPr>
                <w:rFonts w:hint="eastAsia" w:ascii="仿宋_GB2312" w:hAnsi="仿宋" w:eastAsia="仿宋_GB2312" w:cs="仿宋"/>
                <w:sz w:val="32"/>
                <w:szCs w:val="32"/>
                <w:highlight w:val="none"/>
              </w:rPr>
              <w:t>11月</w:t>
            </w:r>
            <w:r>
              <w:rPr>
                <w:rFonts w:hint="eastAsia" w:ascii="仿宋_GB2312" w:hAnsi="仿宋" w:eastAsia="仿宋_GB2312" w:cs="仿宋"/>
                <w:sz w:val="32"/>
                <w:szCs w:val="32"/>
                <w:highlight w:val="none"/>
                <w:lang w:eastAsia="zh-CN"/>
              </w:rPr>
              <w:t>1</w:t>
            </w:r>
            <w:r>
              <w:rPr>
                <w:rFonts w:hint="eastAsia" w:ascii="仿宋_GB2312" w:hAnsi="仿宋" w:eastAsia="仿宋_GB2312" w:cs="仿宋"/>
                <w:sz w:val="32"/>
                <w:szCs w:val="32"/>
                <w:highlight w:val="none"/>
                <w:lang w:val="en-US" w:eastAsia="zh-CN"/>
              </w:rPr>
              <w:t>4</w:t>
            </w:r>
            <w:r>
              <w:rPr>
                <w:rFonts w:hint="eastAsia" w:ascii="仿宋_GB2312" w:hAnsi="仿宋" w:eastAsia="仿宋_GB2312" w:cs="仿宋"/>
                <w:sz w:val="32"/>
                <w:szCs w:val="32"/>
                <w:highlight w:val="none"/>
              </w:rPr>
              <w:t>日 19:00</w:t>
            </w:r>
          </w:p>
        </w:tc>
        <w:tc>
          <w:tcPr>
            <w:tcW w:w="339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580" w:lineRule="exact"/>
              <w:jc w:val="center"/>
              <w:rPr>
                <w:rFonts w:hint="eastAsia" w:ascii="仿宋_GB2312" w:hAnsi="仿宋" w:eastAsia="仿宋_GB2312" w:cs="仿宋"/>
                <w:kern w:val="2"/>
                <w:sz w:val="32"/>
                <w:szCs w:val="32"/>
                <w:highlight w:val="none"/>
                <w:lang w:val="en-US" w:eastAsia="zh-CN" w:bidi="ar-SA"/>
              </w:rPr>
            </w:pPr>
            <w:r>
              <w:rPr>
                <w:rFonts w:hint="eastAsia" w:ascii="仿宋_GB2312" w:hAnsi="仿宋" w:eastAsia="仿宋_GB2312" w:cs="仿宋"/>
                <w:sz w:val="32"/>
                <w:szCs w:val="32"/>
                <w:highlight w:val="none"/>
                <w:lang w:eastAsia="zh-CN"/>
              </w:rPr>
              <w:t>复旦大学</w:t>
            </w:r>
          </w:p>
        </w:tc>
      </w:tr>
      <w:tr>
        <w:tblPrEx>
          <w:tblCellMar>
            <w:top w:w="0" w:type="dxa"/>
            <w:left w:w="0" w:type="dxa"/>
            <w:bottom w:w="0" w:type="dxa"/>
            <w:right w:w="0" w:type="dxa"/>
          </w:tblCellMar>
        </w:tblPrEx>
        <w:trPr>
          <w:trHeight w:val="578" w:hRule="atLeast"/>
        </w:trPr>
        <w:tc>
          <w:tcPr>
            <w:tcW w:w="192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580" w:lineRule="exact"/>
              <w:jc w:val="center"/>
              <w:rPr>
                <w:rFonts w:hint="eastAsia" w:ascii="仿宋_GB2312" w:hAnsi="仿宋" w:eastAsia="仿宋_GB2312" w:cs="仿宋"/>
                <w:kern w:val="2"/>
                <w:sz w:val="32"/>
                <w:szCs w:val="32"/>
                <w:highlight w:val="none"/>
                <w:lang w:val="en-US" w:eastAsia="zh-CN" w:bidi="ar-SA"/>
              </w:rPr>
            </w:pPr>
            <w:r>
              <w:rPr>
                <w:rFonts w:hint="eastAsia" w:ascii="仿宋_GB2312" w:hAnsi="仿宋" w:eastAsia="仿宋_GB2312" w:cs="仿宋"/>
                <w:sz w:val="32"/>
                <w:szCs w:val="32"/>
                <w:highlight w:val="none"/>
                <w:lang w:val="en-US" w:eastAsia="zh-CN"/>
              </w:rPr>
              <w:t>南京</w:t>
            </w:r>
          </w:p>
        </w:tc>
        <w:tc>
          <w:tcPr>
            <w:tcW w:w="275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580" w:lineRule="exact"/>
              <w:jc w:val="center"/>
              <w:rPr>
                <w:rFonts w:hint="eastAsia" w:ascii="仿宋_GB2312" w:hAnsi="仿宋" w:eastAsia="仿宋_GB2312" w:cs="仿宋"/>
                <w:kern w:val="2"/>
                <w:sz w:val="32"/>
                <w:szCs w:val="32"/>
                <w:highlight w:val="none"/>
                <w:lang w:val="en-US" w:eastAsia="zh-CN" w:bidi="ar-SA"/>
              </w:rPr>
            </w:pPr>
            <w:r>
              <w:rPr>
                <w:rFonts w:hint="eastAsia" w:ascii="仿宋_GB2312" w:hAnsi="仿宋" w:eastAsia="仿宋_GB2312" w:cs="仿宋"/>
                <w:sz w:val="32"/>
                <w:szCs w:val="32"/>
                <w:highlight w:val="none"/>
              </w:rPr>
              <w:t>11月</w:t>
            </w:r>
            <w:r>
              <w:rPr>
                <w:rFonts w:hint="eastAsia" w:ascii="仿宋_GB2312" w:hAnsi="仿宋" w:eastAsia="仿宋_GB2312" w:cs="仿宋"/>
                <w:sz w:val="32"/>
                <w:szCs w:val="32"/>
                <w:highlight w:val="none"/>
                <w:lang w:eastAsia="zh-CN"/>
              </w:rPr>
              <w:t>1</w:t>
            </w:r>
            <w:r>
              <w:rPr>
                <w:rFonts w:hint="eastAsia" w:ascii="仿宋_GB2312" w:hAnsi="仿宋" w:eastAsia="仿宋_GB2312" w:cs="仿宋"/>
                <w:sz w:val="32"/>
                <w:szCs w:val="32"/>
                <w:highlight w:val="none"/>
                <w:lang w:val="en-US" w:eastAsia="zh-CN"/>
              </w:rPr>
              <w:t>5</w:t>
            </w:r>
            <w:r>
              <w:rPr>
                <w:rFonts w:hint="eastAsia" w:ascii="仿宋_GB2312" w:hAnsi="仿宋" w:eastAsia="仿宋_GB2312" w:cs="仿宋"/>
                <w:sz w:val="32"/>
                <w:szCs w:val="32"/>
                <w:highlight w:val="none"/>
              </w:rPr>
              <w:t>日 19:00</w:t>
            </w:r>
          </w:p>
        </w:tc>
        <w:tc>
          <w:tcPr>
            <w:tcW w:w="339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580" w:lineRule="exact"/>
              <w:jc w:val="center"/>
              <w:rPr>
                <w:rFonts w:hint="eastAsia" w:ascii="仿宋_GB2312" w:hAnsi="仿宋" w:eastAsia="仿宋_GB2312" w:cs="仿宋"/>
                <w:kern w:val="2"/>
                <w:sz w:val="32"/>
                <w:szCs w:val="32"/>
                <w:highlight w:val="none"/>
                <w:lang w:val="en-US" w:eastAsia="zh-CN" w:bidi="ar-SA"/>
              </w:rPr>
            </w:pPr>
            <w:r>
              <w:rPr>
                <w:rFonts w:hint="eastAsia" w:ascii="仿宋_GB2312" w:hAnsi="仿宋" w:eastAsia="仿宋_GB2312" w:cs="仿宋"/>
                <w:sz w:val="32"/>
                <w:szCs w:val="32"/>
                <w:highlight w:val="none"/>
                <w:lang w:eastAsia="zh-CN"/>
              </w:rPr>
              <w:t>南京</w:t>
            </w:r>
            <w:r>
              <w:rPr>
                <w:rFonts w:hint="eastAsia" w:ascii="仿宋_GB2312" w:hAnsi="仿宋" w:eastAsia="仿宋_GB2312" w:cs="仿宋"/>
                <w:sz w:val="32"/>
                <w:szCs w:val="32"/>
                <w:highlight w:val="none"/>
              </w:rPr>
              <w:t>大学</w:t>
            </w:r>
          </w:p>
        </w:tc>
      </w:tr>
      <w:tr>
        <w:tblPrEx>
          <w:tblCellMar>
            <w:top w:w="0" w:type="dxa"/>
            <w:left w:w="0" w:type="dxa"/>
            <w:bottom w:w="0" w:type="dxa"/>
            <w:right w:w="0" w:type="dxa"/>
          </w:tblCellMar>
        </w:tblPrEx>
        <w:trPr>
          <w:trHeight w:val="578" w:hRule="atLeast"/>
        </w:trPr>
        <w:tc>
          <w:tcPr>
            <w:tcW w:w="192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580" w:lineRule="exact"/>
              <w:ind w:firstLine="640" w:firstLineChars="200"/>
              <w:jc w:val="both"/>
              <w:rPr>
                <w:rFonts w:hint="eastAsia" w:ascii="仿宋_GB2312" w:hAnsi="仿宋" w:eastAsia="仿宋_GB2312" w:cs="仿宋"/>
                <w:kern w:val="2"/>
                <w:sz w:val="32"/>
                <w:szCs w:val="32"/>
                <w:highlight w:val="none"/>
                <w:lang w:val="en-US" w:eastAsia="zh-CN" w:bidi="ar-SA"/>
              </w:rPr>
            </w:pPr>
            <w:r>
              <w:rPr>
                <w:rFonts w:hint="eastAsia" w:ascii="仿宋_GB2312" w:hAnsi="仿宋" w:eastAsia="仿宋_GB2312" w:cs="仿宋"/>
                <w:sz w:val="32"/>
                <w:szCs w:val="32"/>
                <w:highlight w:val="none"/>
                <w:lang w:val="en-US" w:eastAsia="zh-CN"/>
              </w:rPr>
              <w:t>杭州</w:t>
            </w:r>
          </w:p>
        </w:tc>
        <w:tc>
          <w:tcPr>
            <w:tcW w:w="275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580" w:lineRule="exact"/>
              <w:jc w:val="center"/>
              <w:rPr>
                <w:rFonts w:hint="eastAsia" w:ascii="仿宋_GB2312" w:hAnsi="仿宋" w:eastAsia="仿宋_GB2312" w:cs="仿宋"/>
                <w:kern w:val="2"/>
                <w:sz w:val="32"/>
                <w:szCs w:val="32"/>
                <w:highlight w:val="none"/>
                <w:lang w:val="en-US" w:eastAsia="zh-CN" w:bidi="ar-SA"/>
              </w:rPr>
            </w:pPr>
            <w:r>
              <w:rPr>
                <w:rFonts w:hint="eastAsia" w:ascii="仿宋_GB2312" w:hAnsi="仿宋" w:eastAsia="仿宋_GB2312" w:cs="仿宋"/>
                <w:sz w:val="32"/>
                <w:szCs w:val="32"/>
                <w:highlight w:val="none"/>
              </w:rPr>
              <w:t>11月</w:t>
            </w:r>
            <w:r>
              <w:rPr>
                <w:rFonts w:hint="eastAsia" w:ascii="仿宋_GB2312" w:hAnsi="仿宋" w:eastAsia="仿宋_GB2312" w:cs="仿宋"/>
                <w:sz w:val="32"/>
                <w:szCs w:val="32"/>
                <w:highlight w:val="none"/>
                <w:lang w:eastAsia="zh-CN"/>
              </w:rPr>
              <w:t>1</w:t>
            </w:r>
            <w:r>
              <w:rPr>
                <w:rFonts w:hint="eastAsia" w:ascii="仿宋_GB2312" w:hAnsi="仿宋" w:eastAsia="仿宋_GB2312" w:cs="仿宋"/>
                <w:sz w:val="32"/>
                <w:szCs w:val="32"/>
                <w:highlight w:val="none"/>
                <w:lang w:val="en-US" w:eastAsia="zh-CN"/>
              </w:rPr>
              <w:t>6</w:t>
            </w:r>
            <w:r>
              <w:rPr>
                <w:rFonts w:hint="eastAsia" w:ascii="仿宋_GB2312" w:hAnsi="仿宋" w:eastAsia="仿宋_GB2312" w:cs="仿宋"/>
                <w:sz w:val="32"/>
                <w:szCs w:val="32"/>
                <w:highlight w:val="none"/>
              </w:rPr>
              <w:t>日 1</w:t>
            </w:r>
            <w:r>
              <w:rPr>
                <w:rFonts w:hint="eastAsia" w:ascii="仿宋_GB2312" w:hAnsi="仿宋" w:eastAsia="仿宋_GB2312" w:cs="仿宋"/>
                <w:sz w:val="32"/>
                <w:szCs w:val="32"/>
                <w:highlight w:val="none"/>
                <w:lang w:eastAsia="zh-CN"/>
              </w:rPr>
              <w:t>9</w:t>
            </w:r>
            <w:r>
              <w:rPr>
                <w:rFonts w:hint="eastAsia" w:ascii="仿宋_GB2312" w:hAnsi="仿宋" w:eastAsia="仿宋_GB2312" w:cs="仿宋"/>
                <w:sz w:val="32"/>
                <w:szCs w:val="32"/>
                <w:highlight w:val="none"/>
              </w:rPr>
              <w:t>:00</w:t>
            </w:r>
          </w:p>
        </w:tc>
        <w:tc>
          <w:tcPr>
            <w:tcW w:w="339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580" w:lineRule="exact"/>
              <w:jc w:val="center"/>
              <w:rPr>
                <w:rFonts w:hint="eastAsia" w:ascii="仿宋_GB2312" w:hAnsi="仿宋" w:eastAsia="仿宋_GB2312" w:cs="仿宋"/>
                <w:kern w:val="2"/>
                <w:sz w:val="32"/>
                <w:szCs w:val="32"/>
                <w:highlight w:val="none"/>
                <w:lang w:val="en-US" w:eastAsia="zh-CN" w:bidi="ar-SA"/>
              </w:rPr>
            </w:pPr>
            <w:r>
              <w:rPr>
                <w:rFonts w:hint="eastAsia" w:ascii="仿宋_GB2312" w:hAnsi="仿宋" w:eastAsia="仿宋_GB2312" w:cs="仿宋"/>
                <w:sz w:val="32"/>
                <w:szCs w:val="32"/>
                <w:highlight w:val="none"/>
                <w:lang w:eastAsia="zh-CN"/>
              </w:rPr>
              <w:t>浙江大学</w:t>
            </w:r>
          </w:p>
        </w:tc>
      </w:tr>
      <w:tr>
        <w:tblPrEx>
          <w:tblCellMar>
            <w:top w:w="0" w:type="dxa"/>
            <w:left w:w="0" w:type="dxa"/>
            <w:bottom w:w="0" w:type="dxa"/>
            <w:right w:w="0" w:type="dxa"/>
          </w:tblCellMar>
        </w:tblPrEx>
        <w:trPr>
          <w:trHeight w:val="578" w:hRule="atLeast"/>
        </w:trPr>
        <w:tc>
          <w:tcPr>
            <w:tcW w:w="1923" w:type="dxa"/>
            <w:vMerge w:val="restart"/>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580" w:lineRule="exact"/>
              <w:ind w:firstLine="640" w:firstLineChars="200"/>
              <w:jc w:val="both"/>
              <w:rPr>
                <w:rFonts w:ascii="仿宋_GB2312" w:hAnsi="仿宋" w:eastAsia="仿宋_GB2312" w:cs="仿宋"/>
                <w:sz w:val="32"/>
                <w:szCs w:val="32"/>
                <w:highlight w:val="none"/>
              </w:rPr>
            </w:pPr>
            <w:r>
              <w:rPr>
                <w:rFonts w:hint="eastAsia" w:ascii="仿宋_GB2312" w:hAnsi="仿宋" w:eastAsia="仿宋_GB2312" w:cs="仿宋"/>
                <w:sz w:val="32"/>
                <w:szCs w:val="32"/>
                <w:highlight w:val="none"/>
                <w:lang w:eastAsia="zh-CN"/>
              </w:rPr>
              <w:t>深圳</w:t>
            </w:r>
          </w:p>
        </w:tc>
        <w:tc>
          <w:tcPr>
            <w:tcW w:w="275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580" w:lineRule="exact"/>
              <w:jc w:val="center"/>
              <w:rPr>
                <w:rFonts w:hint="eastAsia" w:ascii="仿宋_GB2312" w:hAnsi="仿宋" w:eastAsia="仿宋_GB2312" w:cs="仿宋"/>
                <w:kern w:val="2"/>
                <w:sz w:val="32"/>
                <w:szCs w:val="32"/>
                <w:highlight w:val="none"/>
                <w:lang w:val="en-US" w:eastAsia="zh-CN" w:bidi="ar-SA"/>
              </w:rPr>
            </w:pPr>
            <w:r>
              <w:rPr>
                <w:rFonts w:hint="eastAsia" w:ascii="仿宋_GB2312" w:hAnsi="仿宋" w:eastAsia="仿宋_GB2312" w:cs="仿宋"/>
                <w:sz w:val="32"/>
                <w:szCs w:val="32"/>
                <w:highlight w:val="none"/>
              </w:rPr>
              <w:t>11月</w:t>
            </w:r>
            <w:r>
              <w:rPr>
                <w:rFonts w:hint="eastAsia" w:ascii="仿宋_GB2312" w:hAnsi="仿宋" w:eastAsia="仿宋_GB2312" w:cs="仿宋"/>
                <w:sz w:val="32"/>
                <w:szCs w:val="32"/>
                <w:highlight w:val="none"/>
                <w:lang w:eastAsia="zh-CN"/>
              </w:rPr>
              <w:t>1</w:t>
            </w:r>
            <w:r>
              <w:rPr>
                <w:rFonts w:hint="eastAsia" w:ascii="仿宋_GB2312" w:hAnsi="仿宋" w:eastAsia="仿宋_GB2312" w:cs="仿宋"/>
                <w:sz w:val="32"/>
                <w:szCs w:val="32"/>
                <w:highlight w:val="none"/>
                <w:lang w:val="en-US" w:eastAsia="zh-CN"/>
              </w:rPr>
              <w:t>5</w:t>
            </w:r>
            <w:r>
              <w:rPr>
                <w:rFonts w:hint="eastAsia" w:ascii="仿宋_GB2312" w:hAnsi="仿宋" w:eastAsia="仿宋_GB2312" w:cs="仿宋"/>
                <w:sz w:val="32"/>
                <w:szCs w:val="32"/>
                <w:highlight w:val="none"/>
              </w:rPr>
              <w:t>日 1</w:t>
            </w:r>
            <w:r>
              <w:rPr>
                <w:rFonts w:hint="eastAsia" w:ascii="仿宋_GB2312" w:hAnsi="仿宋" w:eastAsia="仿宋_GB2312" w:cs="仿宋"/>
                <w:sz w:val="32"/>
                <w:szCs w:val="32"/>
                <w:highlight w:val="none"/>
                <w:lang w:eastAsia="zh-CN"/>
              </w:rPr>
              <w:t>9</w:t>
            </w:r>
            <w:r>
              <w:rPr>
                <w:rFonts w:hint="eastAsia" w:ascii="仿宋_GB2312" w:hAnsi="仿宋" w:eastAsia="仿宋_GB2312" w:cs="仿宋"/>
                <w:sz w:val="32"/>
                <w:szCs w:val="32"/>
                <w:highlight w:val="none"/>
              </w:rPr>
              <w:t>:00</w:t>
            </w:r>
          </w:p>
        </w:tc>
        <w:tc>
          <w:tcPr>
            <w:tcW w:w="339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580" w:lineRule="exact"/>
              <w:jc w:val="center"/>
              <w:rPr>
                <w:rFonts w:hint="eastAsia" w:ascii="仿宋_GB2312" w:hAnsi="仿宋" w:eastAsia="仿宋_GB2312" w:cs="仿宋"/>
                <w:kern w:val="2"/>
                <w:sz w:val="32"/>
                <w:szCs w:val="32"/>
                <w:highlight w:val="none"/>
                <w:lang w:val="en-US" w:eastAsia="zh-CN" w:bidi="ar-SA"/>
              </w:rPr>
            </w:pPr>
            <w:r>
              <w:rPr>
                <w:rFonts w:hint="eastAsia" w:ascii="仿宋_GB2312" w:hAnsi="仿宋" w:eastAsia="仿宋_GB2312" w:cs="仿宋"/>
                <w:sz w:val="32"/>
                <w:szCs w:val="32"/>
                <w:highlight w:val="none"/>
                <w:lang w:eastAsia="zh-CN"/>
              </w:rPr>
              <w:t>北京大学深圳研究生院</w:t>
            </w:r>
          </w:p>
        </w:tc>
      </w:tr>
      <w:tr>
        <w:tblPrEx>
          <w:tblCellMar>
            <w:top w:w="0" w:type="dxa"/>
            <w:left w:w="0" w:type="dxa"/>
            <w:bottom w:w="0" w:type="dxa"/>
            <w:right w:w="0" w:type="dxa"/>
          </w:tblCellMar>
        </w:tblPrEx>
        <w:trPr>
          <w:trHeight w:val="578" w:hRule="atLeast"/>
        </w:trPr>
        <w:tc>
          <w:tcPr>
            <w:tcW w:w="1923"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spacing w:line="580" w:lineRule="exact"/>
              <w:jc w:val="center"/>
              <w:rPr>
                <w:rFonts w:ascii="仿宋_GB2312" w:hAnsi="仿宋" w:eastAsia="仿宋_GB2312" w:cs="仿宋"/>
                <w:sz w:val="32"/>
                <w:szCs w:val="32"/>
                <w:highlight w:val="none"/>
              </w:rPr>
            </w:pPr>
            <w:r>
              <w:rPr>
                <w:rFonts w:hint="eastAsia" w:ascii="仿宋_GB2312" w:hAnsi="仿宋" w:eastAsia="仿宋_GB2312" w:cs="仿宋"/>
                <w:sz w:val="32"/>
                <w:szCs w:val="32"/>
                <w:highlight w:val="none"/>
                <w:lang w:eastAsia="zh-CN"/>
              </w:rPr>
              <w:t>香港</w:t>
            </w:r>
          </w:p>
        </w:tc>
        <w:tc>
          <w:tcPr>
            <w:tcW w:w="275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580" w:lineRule="exact"/>
              <w:jc w:val="center"/>
              <w:rPr>
                <w:rFonts w:hint="eastAsia" w:ascii="仿宋_GB2312" w:hAnsi="仿宋" w:eastAsia="仿宋_GB2312" w:cs="仿宋"/>
                <w:kern w:val="2"/>
                <w:sz w:val="32"/>
                <w:szCs w:val="32"/>
                <w:highlight w:val="none"/>
                <w:lang w:val="en-US" w:eastAsia="zh-CN" w:bidi="ar-SA"/>
              </w:rPr>
            </w:pPr>
            <w:r>
              <w:rPr>
                <w:rFonts w:hint="eastAsia" w:ascii="仿宋_GB2312" w:hAnsi="仿宋" w:eastAsia="仿宋_GB2312" w:cs="仿宋"/>
                <w:sz w:val="32"/>
                <w:szCs w:val="32"/>
                <w:highlight w:val="none"/>
              </w:rPr>
              <w:t>11月</w:t>
            </w:r>
            <w:r>
              <w:rPr>
                <w:rFonts w:hint="eastAsia" w:ascii="仿宋_GB2312" w:hAnsi="仿宋" w:eastAsia="仿宋_GB2312" w:cs="仿宋"/>
                <w:sz w:val="32"/>
                <w:szCs w:val="32"/>
                <w:highlight w:val="none"/>
                <w:lang w:eastAsia="zh-CN"/>
              </w:rPr>
              <w:t>1</w:t>
            </w:r>
            <w:r>
              <w:rPr>
                <w:rFonts w:hint="eastAsia" w:ascii="仿宋_GB2312" w:hAnsi="仿宋" w:eastAsia="仿宋_GB2312" w:cs="仿宋"/>
                <w:sz w:val="32"/>
                <w:szCs w:val="32"/>
                <w:highlight w:val="none"/>
                <w:lang w:val="en-US" w:eastAsia="zh-CN"/>
              </w:rPr>
              <w:t>7</w:t>
            </w:r>
            <w:r>
              <w:rPr>
                <w:rFonts w:hint="eastAsia" w:ascii="仿宋_GB2312" w:hAnsi="仿宋" w:eastAsia="仿宋_GB2312" w:cs="仿宋"/>
                <w:sz w:val="32"/>
                <w:szCs w:val="32"/>
                <w:highlight w:val="none"/>
              </w:rPr>
              <w:t>日 1</w:t>
            </w:r>
            <w:r>
              <w:rPr>
                <w:rFonts w:hint="eastAsia" w:ascii="仿宋_GB2312" w:hAnsi="仿宋" w:eastAsia="仿宋_GB2312" w:cs="仿宋"/>
                <w:sz w:val="32"/>
                <w:szCs w:val="32"/>
                <w:highlight w:val="none"/>
                <w:lang w:val="en-US" w:eastAsia="zh-CN"/>
              </w:rPr>
              <w:t>5</w:t>
            </w:r>
            <w:r>
              <w:rPr>
                <w:rFonts w:hint="eastAsia" w:ascii="仿宋_GB2312" w:hAnsi="仿宋" w:eastAsia="仿宋_GB2312" w:cs="仿宋"/>
                <w:sz w:val="32"/>
                <w:szCs w:val="32"/>
                <w:highlight w:val="none"/>
              </w:rPr>
              <w:t>:00</w:t>
            </w:r>
          </w:p>
        </w:tc>
        <w:tc>
          <w:tcPr>
            <w:tcW w:w="3399"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spacing w:line="580" w:lineRule="exact"/>
              <w:jc w:val="center"/>
              <w:rPr>
                <w:rFonts w:hint="eastAsia" w:ascii="仿宋_GB2312" w:hAnsi="仿宋" w:eastAsia="仿宋_GB2312" w:cs="仿宋"/>
                <w:kern w:val="2"/>
                <w:sz w:val="32"/>
                <w:szCs w:val="32"/>
                <w:highlight w:val="none"/>
                <w:lang w:val="en-US" w:eastAsia="zh-CN" w:bidi="ar-SA"/>
              </w:rPr>
            </w:pPr>
            <w:r>
              <w:rPr>
                <w:rFonts w:hint="eastAsia" w:ascii="仿宋_GB2312" w:hAnsi="仿宋" w:eastAsia="仿宋_GB2312" w:cs="仿宋"/>
                <w:sz w:val="32"/>
                <w:szCs w:val="32"/>
                <w:highlight w:val="none"/>
                <w:lang w:eastAsia="zh-CN"/>
              </w:rPr>
              <w:t>香港大学</w:t>
            </w:r>
          </w:p>
        </w:tc>
      </w:tr>
    </w:tbl>
    <w:p>
      <w:pPr>
        <w:pStyle w:val="5"/>
        <w:widowControl/>
        <w:spacing w:beforeAutospacing="0" w:afterAutospacing="0" w:line="580" w:lineRule="exact"/>
        <w:ind w:firstLine="640" w:firstLineChars="200"/>
        <w:jc w:val="both"/>
        <w:rPr>
          <w:rFonts w:hint="eastAsia" w:ascii="仿宋_GB2312" w:hAnsi="仿宋" w:eastAsia="仿宋_GB2312" w:cs="仿宋"/>
          <w:kern w:val="2"/>
          <w:sz w:val="32"/>
          <w:szCs w:val="32"/>
          <w:highlight w:val="none"/>
        </w:rPr>
      </w:pPr>
      <w:r>
        <w:rPr>
          <w:rFonts w:hint="eastAsia" w:ascii="仿宋_GB2312" w:hAnsi="仿宋" w:eastAsia="仿宋_GB2312" w:cs="仿宋"/>
          <w:kern w:val="2"/>
          <w:sz w:val="32"/>
          <w:szCs w:val="32"/>
          <w:highlight w:val="none"/>
        </w:rPr>
        <w:t>宣讲详情请关注前海</w:t>
      </w:r>
      <w:r>
        <w:rPr>
          <w:rFonts w:hint="eastAsia" w:ascii="仿宋_GB2312" w:hAnsi="仿宋" w:eastAsia="仿宋_GB2312" w:cs="仿宋"/>
          <w:kern w:val="2"/>
          <w:sz w:val="32"/>
          <w:szCs w:val="32"/>
          <w:highlight w:val="none"/>
          <w:lang w:val="en-US" w:eastAsia="zh-CN"/>
        </w:rPr>
        <w:t>管理局校园</w:t>
      </w:r>
      <w:r>
        <w:rPr>
          <w:rFonts w:hint="eastAsia" w:ascii="仿宋_GB2312" w:hAnsi="仿宋" w:eastAsia="仿宋_GB2312" w:cs="仿宋"/>
          <w:kern w:val="2"/>
          <w:sz w:val="32"/>
          <w:szCs w:val="32"/>
          <w:highlight w:val="none"/>
        </w:rPr>
        <w:t>招聘官网：</w:t>
      </w:r>
      <w:r>
        <w:rPr>
          <w:rFonts w:hint="eastAsia" w:ascii="仿宋_GB2312" w:hAnsi="仿宋" w:eastAsia="仿宋_GB2312" w:cs="仿宋"/>
          <w:kern w:val="2"/>
          <w:sz w:val="32"/>
          <w:szCs w:val="32"/>
          <w:highlight w:val="yellow"/>
          <w:lang w:eastAsia="zh-CN"/>
        </w:rPr>
        <w:t>待确定</w:t>
      </w:r>
      <w:r>
        <w:rPr>
          <w:rFonts w:hint="eastAsia" w:ascii="仿宋_GB2312" w:hAnsi="仿宋" w:eastAsia="仿宋_GB2312" w:cs="仿宋"/>
          <w:kern w:val="2"/>
          <w:sz w:val="32"/>
          <w:szCs w:val="32"/>
          <w:highlight w:val="none"/>
          <w:lang w:eastAsia="zh-CN"/>
        </w:rPr>
        <w:t>，简历投递时间截止至</w:t>
      </w:r>
      <w:r>
        <w:rPr>
          <w:rFonts w:hint="eastAsia" w:ascii="仿宋_GB2312" w:hAnsi="仿宋" w:eastAsia="仿宋_GB2312" w:cs="仿宋"/>
          <w:kern w:val="2"/>
          <w:sz w:val="32"/>
          <w:szCs w:val="32"/>
          <w:highlight w:val="none"/>
          <w:lang w:val="en-US" w:eastAsia="zh-CN"/>
        </w:rPr>
        <w:t>2023年11月26日24:00。</w:t>
      </w:r>
    </w:p>
    <w:p>
      <w:pPr>
        <w:pStyle w:val="5"/>
        <w:widowControl/>
        <w:spacing w:beforeAutospacing="0" w:afterAutospacing="0" w:line="580" w:lineRule="exact"/>
        <w:ind w:firstLine="643" w:firstLineChars="200"/>
        <w:jc w:val="both"/>
        <w:rPr>
          <w:rFonts w:hint="eastAsia" w:ascii="仿宋_GB2312" w:hAnsi="仿宋" w:eastAsia="仿宋_GB2312" w:cs="仿宋"/>
          <w:kern w:val="2"/>
          <w:sz w:val="32"/>
          <w:szCs w:val="32"/>
          <w:highlight w:val="none"/>
          <w:lang w:eastAsia="zh-CN"/>
        </w:rPr>
      </w:pPr>
      <w:r>
        <w:rPr>
          <w:rFonts w:hint="eastAsia" w:ascii="仿宋_GB2312" w:hAnsi="仿宋" w:eastAsia="仿宋_GB2312" w:cs="仿宋"/>
          <w:b/>
          <w:bCs/>
          <w:kern w:val="2"/>
          <w:sz w:val="32"/>
          <w:szCs w:val="32"/>
          <w:highlight w:val="none"/>
        </w:rPr>
        <w:t>世纪证券有限责任公司</w:t>
      </w:r>
      <w:r>
        <w:rPr>
          <w:rFonts w:hint="eastAsia" w:ascii="仿宋_GB2312" w:hAnsi="仿宋" w:eastAsia="仿宋_GB2312" w:cs="仿宋"/>
          <w:kern w:val="2"/>
          <w:sz w:val="32"/>
          <w:szCs w:val="32"/>
          <w:highlight w:val="none"/>
          <w:lang w:eastAsia="zh-CN"/>
        </w:rPr>
        <w:t>（简称世纪证券，</w:t>
      </w:r>
      <w:r>
        <w:rPr>
          <w:rFonts w:hint="eastAsia" w:ascii="仿宋_GB2312" w:hAnsi="仿宋" w:eastAsia="仿宋_GB2312" w:cs="仿宋"/>
          <w:kern w:val="2"/>
          <w:sz w:val="32"/>
          <w:szCs w:val="32"/>
          <w:highlight w:val="none"/>
        </w:rPr>
        <w:t>前海金融控股有限公司</w:t>
      </w:r>
      <w:r>
        <w:rPr>
          <w:rFonts w:hint="eastAsia" w:ascii="仿宋_GB2312" w:hAnsi="仿宋" w:eastAsia="仿宋_GB2312" w:cs="仿宋"/>
          <w:kern w:val="2"/>
          <w:sz w:val="32"/>
          <w:szCs w:val="32"/>
          <w:highlight w:val="none"/>
          <w:lang w:eastAsia="zh-CN"/>
        </w:rPr>
        <w:t>参股企业）将参与部分院校宣讲，招聘详情请登录世纪证券校园招聘官网（http://xy.liepin.com/sjzq2024/）查看。</w:t>
      </w:r>
    </w:p>
    <w:p>
      <w:pPr>
        <w:pStyle w:val="5"/>
        <w:widowControl/>
        <w:numPr>
          <w:ilvl w:val="0"/>
          <w:numId w:val="1"/>
        </w:numPr>
        <w:spacing w:beforeAutospacing="0" w:afterAutospacing="0" w:line="580" w:lineRule="exact"/>
        <w:ind w:firstLine="640" w:firstLineChars="200"/>
        <w:jc w:val="both"/>
        <w:rPr>
          <w:rFonts w:ascii="黑体" w:hAnsi="黑体" w:eastAsia="黑体" w:cs="黑体"/>
          <w:sz w:val="32"/>
          <w:szCs w:val="32"/>
          <w:highlight w:val="none"/>
        </w:rPr>
      </w:pPr>
      <w:r>
        <w:rPr>
          <w:rFonts w:hint="eastAsia" w:ascii="黑体" w:hAnsi="黑体" w:eastAsia="黑体" w:cs="黑体"/>
          <w:sz w:val="32"/>
          <w:szCs w:val="32"/>
          <w:highlight w:val="none"/>
        </w:rPr>
        <w:t>招聘流程</w:t>
      </w:r>
    </w:p>
    <w:p>
      <w:pPr>
        <w:spacing w:line="580" w:lineRule="exact"/>
        <w:ind w:firstLine="640" w:firstLineChars="200"/>
        <w:rPr>
          <w:rFonts w:hint="eastAsia" w:ascii="仿宋_GB2312" w:hAnsi="仿宋" w:eastAsia="仿宋_GB2312" w:cs="仿宋"/>
          <w:sz w:val="32"/>
          <w:szCs w:val="32"/>
          <w:highlight w:val="none"/>
          <w:lang w:eastAsia="zh-CN"/>
        </w:rPr>
      </w:pPr>
      <w:r>
        <w:rPr>
          <w:rFonts w:hint="eastAsia" w:ascii="仿宋_GB2312" w:hAnsi="仿宋" w:eastAsia="仿宋_GB2312" w:cs="仿宋"/>
          <w:sz w:val="32"/>
          <w:szCs w:val="32"/>
          <w:highlight w:val="none"/>
        </w:rPr>
        <w:t>登</w:t>
      </w:r>
      <w:r>
        <w:rPr>
          <w:rFonts w:hint="eastAsia" w:ascii="仿宋_GB2312" w:hAnsi="仿宋" w:eastAsia="仿宋_GB2312" w:cs="仿宋"/>
          <w:sz w:val="32"/>
          <w:szCs w:val="32"/>
          <w:highlight w:val="none"/>
          <w:lang w:eastAsia="zh-CN"/>
        </w:rPr>
        <w:t>录</w:t>
      </w:r>
      <w:r>
        <w:rPr>
          <w:rFonts w:hint="eastAsia" w:ascii="仿宋_GB2312" w:hAnsi="仿宋" w:eastAsia="仿宋_GB2312" w:cs="仿宋"/>
          <w:sz w:val="32"/>
          <w:szCs w:val="32"/>
          <w:highlight w:val="none"/>
        </w:rPr>
        <w:t>前海</w:t>
      </w:r>
      <w:r>
        <w:rPr>
          <w:rFonts w:hint="eastAsia" w:ascii="仿宋_GB2312" w:hAnsi="仿宋" w:eastAsia="仿宋_GB2312" w:cs="仿宋"/>
          <w:sz w:val="32"/>
          <w:szCs w:val="32"/>
          <w:highlight w:val="none"/>
          <w:lang w:val="en-US" w:eastAsia="zh-CN"/>
        </w:rPr>
        <w:t>管理局</w:t>
      </w:r>
      <w:r>
        <w:rPr>
          <w:rFonts w:hint="eastAsia" w:ascii="仿宋_GB2312" w:hAnsi="仿宋" w:eastAsia="仿宋_GB2312" w:cs="仿宋"/>
          <w:sz w:val="32"/>
          <w:szCs w:val="32"/>
          <w:highlight w:val="none"/>
        </w:rPr>
        <w:t>招聘官网（</w:t>
      </w:r>
      <w:r>
        <w:rPr>
          <w:rFonts w:hint="eastAsia" w:ascii="仿宋_GB2312" w:hAnsi="仿宋" w:eastAsia="仿宋_GB2312" w:cs="仿宋"/>
          <w:sz w:val="32"/>
          <w:szCs w:val="32"/>
          <w:highlight w:val="yellow"/>
          <w:lang w:eastAsia="zh-CN"/>
        </w:rPr>
        <w:t>待确定</w:t>
      </w:r>
      <w:r>
        <w:rPr>
          <w:rFonts w:hint="eastAsia" w:ascii="仿宋_GB2312" w:hAnsi="仿宋" w:eastAsia="仿宋_GB2312" w:cs="仿宋"/>
          <w:sz w:val="32"/>
          <w:szCs w:val="32"/>
          <w:highlight w:val="none"/>
        </w:rPr>
        <w:t>）→网申</w:t>
      </w:r>
      <w:r>
        <w:rPr>
          <w:rFonts w:hint="eastAsia" w:ascii="仿宋_GB2312" w:hAnsi="仿宋" w:eastAsia="仿宋_GB2312" w:cs="仿宋"/>
          <w:sz w:val="32"/>
          <w:szCs w:val="32"/>
          <w:highlight w:val="none"/>
          <w:lang w:eastAsia="zh-CN"/>
        </w:rPr>
        <w:t>（</w:t>
      </w:r>
      <w:r>
        <w:rPr>
          <w:rFonts w:hint="eastAsia" w:ascii="仿宋_GB2312" w:hAnsi="仿宋" w:eastAsia="仿宋_GB2312" w:cs="仿宋"/>
          <w:sz w:val="32"/>
          <w:szCs w:val="32"/>
          <w:highlight w:val="none"/>
          <w:lang w:val="en-US" w:eastAsia="zh-CN"/>
        </w:rPr>
        <w:t>在线测评</w:t>
      </w:r>
      <w:r>
        <w:rPr>
          <w:rFonts w:hint="eastAsia" w:ascii="仿宋_GB2312" w:hAnsi="仿宋" w:eastAsia="仿宋_GB2312" w:cs="仿宋"/>
          <w:sz w:val="32"/>
          <w:szCs w:val="32"/>
          <w:highlight w:val="none"/>
          <w:lang w:eastAsia="zh-CN"/>
        </w:rPr>
        <w:t>）</w:t>
      </w:r>
      <w:r>
        <w:rPr>
          <w:rFonts w:hint="eastAsia" w:ascii="仿宋_GB2312" w:hAnsi="仿宋" w:eastAsia="仿宋_GB2312" w:cs="仿宋"/>
          <w:sz w:val="32"/>
          <w:szCs w:val="32"/>
          <w:highlight w:val="none"/>
        </w:rPr>
        <w:t>→</w:t>
      </w:r>
      <w:r>
        <w:rPr>
          <w:rFonts w:hint="eastAsia" w:ascii="仿宋_GB2312" w:hAnsi="仿宋" w:eastAsia="仿宋_GB2312" w:cs="仿宋"/>
          <w:sz w:val="32"/>
          <w:szCs w:val="32"/>
          <w:highlight w:val="none"/>
          <w:lang w:eastAsia="zh-CN"/>
        </w:rPr>
        <w:t>简历筛选</w:t>
      </w:r>
      <w:r>
        <w:rPr>
          <w:rFonts w:hint="eastAsia" w:ascii="仿宋_GB2312" w:hAnsi="仿宋" w:eastAsia="仿宋_GB2312" w:cs="仿宋"/>
          <w:sz w:val="32"/>
          <w:szCs w:val="32"/>
          <w:highlight w:val="none"/>
        </w:rPr>
        <w:t>→</w:t>
      </w:r>
      <w:r>
        <w:rPr>
          <w:rFonts w:hint="eastAsia" w:ascii="仿宋_GB2312" w:hAnsi="仿宋" w:eastAsia="仿宋_GB2312" w:cs="仿宋"/>
          <w:sz w:val="32"/>
          <w:szCs w:val="32"/>
          <w:highlight w:val="none"/>
          <w:lang w:eastAsia="zh-CN"/>
        </w:rPr>
        <w:t>笔试（</w:t>
      </w:r>
      <w:r>
        <w:rPr>
          <w:rFonts w:hint="eastAsia" w:ascii="仿宋_GB2312" w:hAnsi="仿宋" w:eastAsia="仿宋_GB2312" w:cs="仿宋"/>
          <w:sz w:val="32"/>
          <w:szCs w:val="32"/>
          <w:highlight w:val="none"/>
          <w:lang w:val="en-US" w:eastAsia="zh-CN"/>
        </w:rPr>
        <w:t>北京、上海、深圳</w:t>
      </w:r>
      <w:r>
        <w:rPr>
          <w:rFonts w:hint="eastAsia" w:ascii="仿宋_GB2312" w:hAnsi="仿宋" w:eastAsia="仿宋_GB2312" w:cs="仿宋"/>
          <w:sz w:val="32"/>
          <w:szCs w:val="32"/>
          <w:highlight w:val="none"/>
          <w:lang w:eastAsia="zh-CN"/>
        </w:rPr>
        <w:t>）</w:t>
      </w:r>
      <w:r>
        <w:rPr>
          <w:rFonts w:hint="eastAsia" w:ascii="仿宋_GB2312" w:hAnsi="仿宋" w:eastAsia="仿宋_GB2312" w:cs="仿宋"/>
          <w:sz w:val="32"/>
          <w:szCs w:val="32"/>
          <w:highlight w:val="none"/>
        </w:rPr>
        <w:t>→</w:t>
      </w:r>
      <w:r>
        <w:rPr>
          <w:rFonts w:hint="eastAsia" w:ascii="仿宋_GB2312" w:hAnsi="仿宋" w:eastAsia="仿宋_GB2312" w:cs="仿宋"/>
          <w:sz w:val="32"/>
          <w:szCs w:val="32"/>
          <w:highlight w:val="none"/>
          <w:lang w:eastAsia="zh-CN"/>
        </w:rPr>
        <w:t>面试（</w:t>
      </w:r>
      <w:r>
        <w:rPr>
          <w:rFonts w:hint="eastAsia" w:ascii="仿宋_GB2312" w:hAnsi="仿宋" w:eastAsia="仿宋_GB2312" w:cs="仿宋"/>
          <w:sz w:val="32"/>
          <w:szCs w:val="32"/>
          <w:highlight w:val="none"/>
          <w:lang w:val="en-US" w:eastAsia="zh-CN"/>
        </w:rPr>
        <w:t>深圳</w:t>
      </w:r>
      <w:r>
        <w:rPr>
          <w:rFonts w:hint="eastAsia" w:ascii="仿宋_GB2312" w:hAnsi="仿宋" w:eastAsia="仿宋_GB2312" w:cs="仿宋"/>
          <w:sz w:val="32"/>
          <w:szCs w:val="32"/>
          <w:highlight w:val="none"/>
          <w:lang w:eastAsia="zh-CN"/>
        </w:rPr>
        <w:t>）</w:t>
      </w:r>
      <w:r>
        <w:rPr>
          <w:rFonts w:hint="eastAsia" w:ascii="仿宋_GB2312" w:hAnsi="仿宋" w:eastAsia="仿宋_GB2312" w:cs="仿宋"/>
          <w:sz w:val="32"/>
          <w:szCs w:val="32"/>
          <w:highlight w:val="none"/>
        </w:rPr>
        <w:t>→</w:t>
      </w:r>
      <w:r>
        <w:rPr>
          <w:rFonts w:hint="eastAsia" w:ascii="仿宋_GB2312" w:hAnsi="仿宋" w:eastAsia="仿宋_GB2312" w:cs="仿宋"/>
          <w:sz w:val="32"/>
          <w:szCs w:val="32"/>
          <w:highlight w:val="none"/>
          <w:lang w:eastAsia="zh-CN"/>
        </w:rPr>
        <w:t>面谈。</w:t>
      </w:r>
    </w:p>
    <w:p>
      <w:pPr>
        <w:numPr>
          <w:ilvl w:val="-1"/>
          <w:numId w:val="0"/>
        </w:numPr>
        <w:spacing w:line="580" w:lineRule="exact"/>
        <w:ind w:firstLine="640" w:firstLineChars="200"/>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前海</w:t>
      </w:r>
      <w:r>
        <w:rPr>
          <w:rFonts w:hint="eastAsia" w:ascii="仿宋_GB2312" w:hAnsi="仿宋" w:eastAsia="仿宋_GB2312" w:cs="仿宋"/>
          <w:sz w:val="32"/>
          <w:szCs w:val="32"/>
          <w:highlight w:val="none"/>
          <w:lang w:val="en-US" w:eastAsia="zh-CN"/>
        </w:rPr>
        <w:t>管理局及局属</w:t>
      </w:r>
      <w:bookmarkStart w:id="0" w:name="_GoBack"/>
      <w:bookmarkEnd w:id="0"/>
      <w:r>
        <w:rPr>
          <w:rFonts w:hint="eastAsia" w:ascii="仿宋_GB2312" w:hAnsi="仿宋" w:eastAsia="仿宋_GB2312" w:cs="仿宋"/>
          <w:sz w:val="32"/>
          <w:szCs w:val="32"/>
          <w:highlight w:val="none"/>
          <w:lang w:val="en-US" w:eastAsia="zh-CN"/>
        </w:rPr>
        <w:t>公司</w:t>
      </w:r>
      <w:r>
        <w:rPr>
          <w:rFonts w:hint="eastAsia" w:ascii="仿宋_GB2312" w:hAnsi="仿宋" w:eastAsia="仿宋_GB2312" w:cs="仿宋"/>
          <w:sz w:val="32"/>
          <w:szCs w:val="32"/>
          <w:highlight w:val="none"/>
        </w:rPr>
        <w:t>将</w:t>
      </w:r>
      <w:r>
        <w:rPr>
          <w:rFonts w:hint="eastAsia" w:ascii="仿宋_GB2312" w:hAnsi="仿宋" w:eastAsia="仿宋_GB2312" w:cs="仿宋"/>
          <w:sz w:val="32"/>
          <w:szCs w:val="32"/>
          <w:highlight w:val="none"/>
          <w:lang w:eastAsia="zh-CN"/>
        </w:rPr>
        <w:t>为</w:t>
      </w:r>
      <w:r>
        <w:rPr>
          <w:rFonts w:hint="eastAsia" w:ascii="仿宋_GB2312" w:hAnsi="仿宋" w:eastAsia="仿宋_GB2312" w:cs="仿宋"/>
          <w:sz w:val="32"/>
          <w:szCs w:val="32"/>
          <w:highlight w:val="none"/>
        </w:rPr>
        <w:t>来深圳参加面试的市外人员发放差旅补贴，广东省内深圳市外</w:t>
      </w:r>
      <w:r>
        <w:rPr>
          <w:rFonts w:hint="eastAsia" w:ascii="仿宋_GB2312" w:hAnsi="仿宋" w:eastAsia="仿宋_GB2312" w:cs="仿宋"/>
          <w:sz w:val="32"/>
          <w:szCs w:val="32"/>
          <w:highlight w:val="none"/>
          <w:lang w:eastAsia="zh-CN"/>
        </w:rPr>
        <w:t>人员</w:t>
      </w:r>
      <w:r>
        <w:rPr>
          <w:rFonts w:hint="eastAsia" w:ascii="仿宋_GB2312" w:hAnsi="仿宋" w:eastAsia="仿宋_GB2312" w:cs="仿宋"/>
          <w:sz w:val="32"/>
          <w:szCs w:val="32"/>
          <w:highlight w:val="none"/>
        </w:rPr>
        <w:t>及港澳人员补贴标准1000元/人，其他广东省外人员补贴标准为2000元/人。</w:t>
      </w:r>
    </w:p>
    <w:p>
      <w:pPr>
        <w:pStyle w:val="5"/>
        <w:widowControl/>
        <w:numPr>
          <w:ilvl w:val="0"/>
          <w:numId w:val="1"/>
        </w:numPr>
        <w:spacing w:beforeAutospacing="0" w:afterAutospacing="0" w:line="580" w:lineRule="exact"/>
        <w:ind w:firstLine="640" w:firstLineChars="200"/>
        <w:jc w:val="both"/>
        <w:rPr>
          <w:rFonts w:ascii="黑体" w:hAnsi="黑体" w:eastAsia="黑体" w:cs="黑体"/>
          <w:sz w:val="32"/>
          <w:szCs w:val="32"/>
          <w:highlight w:val="none"/>
        </w:rPr>
      </w:pPr>
      <w:r>
        <w:rPr>
          <w:rFonts w:hint="eastAsia" w:ascii="黑体" w:hAnsi="黑体" w:eastAsia="黑体" w:cs="黑体"/>
          <w:sz w:val="32"/>
          <w:szCs w:val="32"/>
          <w:highlight w:val="none"/>
        </w:rPr>
        <w:t>薪酬福利</w:t>
      </w:r>
    </w:p>
    <w:p>
      <w:pPr>
        <w:spacing w:line="580" w:lineRule="exact"/>
        <w:ind w:firstLine="640" w:firstLineChars="200"/>
        <w:rPr>
          <w:rFonts w:ascii="仿宋_GB2312" w:hAnsi="仿宋" w:eastAsia="仿宋_GB2312" w:cs="仿宋"/>
          <w:sz w:val="32"/>
          <w:szCs w:val="32"/>
          <w:highlight w:val="none"/>
        </w:rPr>
      </w:pPr>
      <w:r>
        <w:rPr>
          <w:rFonts w:hint="eastAsia" w:ascii="仿宋_GB2312" w:hAnsi="仿宋" w:eastAsia="仿宋_GB2312" w:cs="仿宋"/>
          <w:sz w:val="32"/>
          <w:szCs w:val="32"/>
          <w:highlight w:val="none"/>
          <w:lang w:val="en-US" w:eastAsia="zh-CN"/>
        </w:rPr>
        <w:t>（一）薪酬待遇</w:t>
      </w:r>
      <w:r>
        <w:rPr>
          <w:rFonts w:hint="eastAsia" w:ascii="仿宋_GB2312" w:hAnsi="仿宋" w:eastAsia="仿宋_GB2312" w:cs="仿宋"/>
          <w:sz w:val="32"/>
          <w:szCs w:val="32"/>
          <w:highlight w:val="none"/>
        </w:rPr>
        <w:t>：前海</w:t>
      </w:r>
      <w:r>
        <w:rPr>
          <w:rFonts w:hint="eastAsia" w:ascii="仿宋_GB2312" w:hAnsi="仿宋" w:eastAsia="仿宋_GB2312" w:cs="仿宋"/>
          <w:sz w:val="32"/>
          <w:szCs w:val="32"/>
          <w:highlight w:val="none"/>
          <w:lang w:val="en-US" w:eastAsia="zh-CN"/>
        </w:rPr>
        <w:t>管理局及局属公司</w:t>
      </w:r>
      <w:r>
        <w:rPr>
          <w:rFonts w:hint="eastAsia" w:ascii="仿宋_GB2312" w:hAnsi="仿宋" w:eastAsia="仿宋_GB2312" w:cs="仿宋"/>
          <w:sz w:val="32"/>
          <w:szCs w:val="32"/>
          <w:highlight w:val="none"/>
        </w:rPr>
        <w:t>将</w:t>
      </w:r>
      <w:r>
        <w:rPr>
          <w:rFonts w:hint="eastAsia" w:ascii="仿宋_GB2312" w:hAnsi="仿宋" w:eastAsia="仿宋_GB2312" w:cs="仿宋"/>
          <w:sz w:val="32"/>
          <w:szCs w:val="32"/>
          <w:highlight w:val="none"/>
          <w:lang w:val="en-US" w:eastAsia="zh-CN"/>
        </w:rPr>
        <w:t>提供有竞争力的薪酬待遇，缴纳</w:t>
      </w:r>
      <w:r>
        <w:rPr>
          <w:rFonts w:hint="eastAsia" w:ascii="仿宋_GB2312" w:hAnsi="仿宋" w:eastAsia="仿宋_GB2312" w:cs="仿宋"/>
          <w:sz w:val="32"/>
          <w:szCs w:val="32"/>
          <w:highlight w:val="none"/>
        </w:rPr>
        <w:t>五险一金外，还增加购买商业补充医疗保险，缴纳企业年金</w:t>
      </w:r>
      <w:r>
        <w:rPr>
          <w:rFonts w:hint="eastAsia" w:ascii="仿宋_GB2312" w:hAnsi="仿宋" w:eastAsia="仿宋_GB2312" w:cs="仿宋"/>
          <w:sz w:val="32"/>
          <w:szCs w:val="32"/>
          <w:highlight w:val="none"/>
          <w:lang w:eastAsia="zh-CN"/>
        </w:rPr>
        <w:t>。博士后研究人员</w:t>
      </w:r>
      <w:r>
        <w:rPr>
          <w:rFonts w:hint="eastAsia" w:ascii="仿宋_GB2312" w:hAnsi="仿宋" w:eastAsia="仿宋_GB2312" w:cs="仿宋"/>
          <w:sz w:val="32"/>
          <w:szCs w:val="32"/>
          <w:highlight w:val="none"/>
          <w:lang w:val="en-US" w:eastAsia="zh-CN"/>
        </w:rPr>
        <w:t>薪酬待遇</w:t>
      </w:r>
      <w:r>
        <w:rPr>
          <w:rFonts w:hint="eastAsia" w:ascii="仿宋_GB2312" w:hAnsi="仿宋" w:eastAsia="仿宋_GB2312" w:cs="仿宋"/>
          <w:sz w:val="32"/>
          <w:szCs w:val="32"/>
          <w:highlight w:val="none"/>
        </w:rPr>
        <w:t>按国家有关标准及相关管理规定执行</w:t>
      </w:r>
      <w:r>
        <w:rPr>
          <w:rFonts w:hint="eastAsia" w:ascii="仿宋_GB2312" w:hAnsi="仿宋" w:eastAsia="仿宋_GB2312" w:cs="仿宋"/>
          <w:sz w:val="32"/>
          <w:szCs w:val="32"/>
          <w:highlight w:val="none"/>
          <w:lang w:eastAsia="zh-CN"/>
        </w:rPr>
        <w:t>，</w:t>
      </w:r>
      <w:r>
        <w:rPr>
          <w:rFonts w:hint="eastAsia" w:ascii="仿宋_GB2312" w:hAnsi="仿宋" w:eastAsia="仿宋_GB2312" w:cs="仿宋"/>
          <w:sz w:val="32"/>
          <w:szCs w:val="32"/>
          <w:highlight w:val="none"/>
        </w:rPr>
        <w:t>在站期间综合年薪税前约36万元人民币（含深圳市政府补贴18万元/年，</w:t>
      </w:r>
      <w:r>
        <w:rPr>
          <w:rFonts w:hint="eastAsia" w:ascii="仿宋_GB2312" w:hAnsi="仿宋" w:eastAsia="仿宋_GB2312" w:cs="仿宋"/>
          <w:sz w:val="32"/>
          <w:szCs w:val="32"/>
          <w:highlight w:val="none"/>
          <w:lang w:eastAsia="zh-CN"/>
        </w:rPr>
        <w:t>补贴</w:t>
      </w:r>
      <w:r>
        <w:rPr>
          <w:rFonts w:hint="eastAsia" w:ascii="仿宋_GB2312" w:hAnsi="仿宋" w:eastAsia="仿宋_GB2312" w:cs="仿宋"/>
          <w:sz w:val="32"/>
          <w:szCs w:val="32"/>
          <w:highlight w:val="none"/>
          <w:lang w:val="en-US" w:eastAsia="zh-CN"/>
        </w:rPr>
        <w:t>2年</w:t>
      </w:r>
      <w:r>
        <w:rPr>
          <w:rFonts w:hint="eastAsia" w:ascii="仿宋_GB2312" w:hAnsi="仿宋" w:eastAsia="仿宋_GB2312" w:cs="仿宋"/>
          <w:sz w:val="32"/>
          <w:szCs w:val="32"/>
          <w:highlight w:val="none"/>
        </w:rPr>
        <w:t>）。</w:t>
      </w:r>
    </w:p>
    <w:p>
      <w:pPr>
        <w:spacing w:line="580" w:lineRule="exact"/>
        <w:ind w:firstLine="640" w:firstLineChars="200"/>
        <w:rPr>
          <w:rFonts w:ascii="仿宋_GB2312" w:eastAsia="仿宋_GB2312"/>
          <w:sz w:val="32"/>
          <w:szCs w:val="32"/>
        </w:rPr>
      </w:pPr>
      <w:r>
        <w:rPr>
          <w:rFonts w:hint="eastAsia" w:ascii="仿宋_GB2312" w:hAnsi="仿宋" w:eastAsia="仿宋_GB2312" w:cs="仿宋"/>
          <w:sz w:val="32"/>
          <w:szCs w:val="32"/>
          <w:highlight w:val="none"/>
          <w:lang w:val="en-US" w:eastAsia="zh-CN"/>
        </w:rPr>
        <w:t>（二）福利</w:t>
      </w:r>
      <w:r>
        <w:rPr>
          <w:rFonts w:hint="eastAsia" w:ascii="仿宋_GB2312" w:hAnsi="仿宋" w:eastAsia="仿宋_GB2312" w:cs="仿宋"/>
          <w:sz w:val="32"/>
          <w:szCs w:val="32"/>
          <w:highlight w:val="none"/>
        </w:rPr>
        <w:t>保障：</w:t>
      </w:r>
      <w:r>
        <w:rPr>
          <w:rFonts w:hint="eastAsia" w:ascii="仿宋_GB2312" w:hAnsi="仿宋" w:eastAsia="仿宋_GB2312" w:cs="仿宋"/>
          <w:sz w:val="32"/>
          <w:szCs w:val="32"/>
          <w:highlight w:val="none"/>
          <w:lang w:val="en-US" w:eastAsia="zh-CN"/>
        </w:rPr>
        <w:t>全周期</w:t>
      </w:r>
      <w:r>
        <w:rPr>
          <w:rFonts w:hint="eastAsia" w:ascii="仿宋_GB2312" w:hAnsi="仿宋" w:eastAsia="仿宋_GB2312" w:cs="仿宋"/>
          <w:sz w:val="32"/>
          <w:szCs w:val="32"/>
          <w:highlight w:val="none"/>
          <w:lang w:eastAsia="zh-CN"/>
        </w:rPr>
        <w:t>培训体系、丰富的业余活动、年度体检、带薪年休假，</w:t>
      </w:r>
      <w:r>
        <w:rPr>
          <w:rFonts w:hint="eastAsia" w:ascii="仿宋_GB2312" w:hAnsi="仿宋" w:eastAsia="仿宋_GB2312" w:cs="仿宋"/>
          <w:sz w:val="32"/>
          <w:szCs w:val="32"/>
          <w:highlight w:val="none"/>
        </w:rPr>
        <w:t>可按有关政策规定申请保障性租赁住房</w:t>
      </w:r>
      <w:r>
        <w:rPr>
          <w:rFonts w:hint="eastAsia" w:ascii="仿宋_GB2312" w:hAnsi="仿宋" w:eastAsia="仿宋_GB2312" w:cs="仿宋"/>
          <w:sz w:val="32"/>
          <w:szCs w:val="32"/>
          <w:highlight w:val="none"/>
          <w:lang w:eastAsia="zh-CN"/>
        </w:rPr>
        <w:t>。博士后研究人员</w:t>
      </w:r>
      <w:r>
        <w:rPr>
          <w:rFonts w:hint="eastAsia" w:ascii="仿宋_GB2312" w:eastAsia="仿宋_GB2312"/>
          <w:sz w:val="32"/>
          <w:szCs w:val="32"/>
        </w:rPr>
        <w:t>在站期间享受与前海管理局</w:t>
      </w:r>
      <w:r>
        <w:rPr>
          <w:rFonts w:hint="eastAsia" w:ascii="仿宋_GB2312" w:eastAsia="仿宋_GB2312"/>
          <w:sz w:val="32"/>
          <w:szCs w:val="32"/>
          <w:lang w:val="en-US" w:eastAsia="zh-CN"/>
        </w:rPr>
        <w:t>工作人员</w:t>
      </w:r>
      <w:r>
        <w:rPr>
          <w:rFonts w:hint="eastAsia" w:ascii="仿宋_GB2312" w:eastAsia="仿宋_GB2312"/>
          <w:sz w:val="32"/>
          <w:szCs w:val="32"/>
        </w:rPr>
        <w:t>同等福利。</w:t>
      </w:r>
    </w:p>
    <w:p>
      <w:pPr>
        <w:spacing w:line="580" w:lineRule="exact"/>
        <w:ind w:firstLine="640" w:firstLineChars="200"/>
        <w:rPr>
          <w:rFonts w:hint="eastAsia" w:ascii="仿宋_GB2312" w:hAnsi="仿宋" w:eastAsia="仿宋_GB2312" w:cs="仿宋"/>
          <w:sz w:val="32"/>
          <w:szCs w:val="32"/>
          <w:highlight w:val="none"/>
          <w:lang w:eastAsia="zh-CN"/>
        </w:rPr>
      </w:pPr>
      <w:r>
        <w:rPr>
          <w:rFonts w:hint="eastAsia" w:ascii="仿宋_GB2312" w:hAnsi="仿宋" w:eastAsia="仿宋_GB2312" w:cs="仿宋"/>
          <w:sz w:val="32"/>
          <w:szCs w:val="32"/>
          <w:highlight w:val="none"/>
          <w:lang w:val="en-US" w:eastAsia="zh-CN"/>
        </w:rPr>
        <w:t>（三）落户政策</w:t>
      </w:r>
      <w:r>
        <w:rPr>
          <w:rFonts w:hint="eastAsia" w:ascii="仿宋_GB2312" w:hAnsi="仿宋" w:eastAsia="仿宋_GB2312" w:cs="仿宋"/>
          <w:sz w:val="32"/>
          <w:szCs w:val="32"/>
          <w:highlight w:val="none"/>
        </w:rPr>
        <w:t>：来了就是深圳人，“秒批”落户深圳</w:t>
      </w:r>
      <w:r>
        <w:rPr>
          <w:rFonts w:hint="eastAsia" w:ascii="仿宋_GB2312" w:hAnsi="仿宋" w:eastAsia="仿宋_GB2312" w:cs="仿宋"/>
          <w:sz w:val="32"/>
          <w:szCs w:val="32"/>
          <w:highlight w:val="none"/>
          <w:lang w:eastAsia="zh-CN"/>
        </w:rPr>
        <w:t>，</w:t>
      </w:r>
      <w:r>
        <w:rPr>
          <w:rFonts w:hint="eastAsia" w:ascii="仿宋_GB2312" w:eastAsia="仿宋_GB2312"/>
          <w:sz w:val="32"/>
          <w:szCs w:val="32"/>
          <w:highlight w:val="none"/>
        </w:rPr>
        <w:t>博士后</w:t>
      </w:r>
      <w:r>
        <w:rPr>
          <w:rFonts w:hint="eastAsia" w:ascii="仿宋_GB2312" w:eastAsia="仿宋_GB2312"/>
          <w:sz w:val="32"/>
          <w:szCs w:val="32"/>
          <w:highlight w:val="none"/>
          <w:lang w:eastAsia="zh-CN"/>
        </w:rPr>
        <w:t>研究人员</w:t>
      </w:r>
      <w:r>
        <w:rPr>
          <w:rFonts w:hint="eastAsia" w:ascii="仿宋_GB2312" w:eastAsia="仿宋_GB2312"/>
          <w:sz w:val="32"/>
          <w:szCs w:val="32"/>
          <w:highlight w:val="none"/>
        </w:rPr>
        <w:t>配偶、子女可以随迁。</w:t>
      </w:r>
    </w:p>
    <w:p>
      <w:pPr>
        <w:spacing w:line="580" w:lineRule="exact"/>
        <w:ind w:firstLine="640" w:firstLineChars="200"/>
        <w:jc w:val="left"/>
        <w:rPr>
          <w:rFonts w:ascii="仿宋_GB2312" w:eastAsia="仿宋_GB2312"/>
          <w:sz w:val="32"/>
          <w:szCs w:val="32"/>
          <w:highlight w:val="none"/>
        </w:rPr>
      </w:pPr>
      <w:r>
        <w:rPr>
          <w:rFonts w:hint="eastAsia" w:ascii="仿宋_GB2312" w:hAnsi="仿宋" w:eastAsia="仿宋_GB2312" w:cs="仿宋"/>
          <w:sz w:val="32"/>
          <w:szCs w:val="32"/>
          <w:highlight w:val="none"/>
          <w:lang w:val="en-US" w:eastAsia="zh-CN"/>
        </w:rPr>
        <w:t>（四）生活</w:t>
      </w:r>
      <w:r>
        <w:rPr>
          <w:rFonts w:hint="eastAsia" w:ascii="仿宋_GB2312" w:hAnsi="仿宋" w:eastAsia="仿宋_GB2312" w:cs="仿宋"/>
          <w:sz w:val="32"/>
          <w:szCs w:val="32"/>
          <w:highlight w:val="none"/>
        </w:rPr>
        <w:t>补贴：</w:t>
      </w:r>
      <w:r>
        <w:rPr>
          <w:rFonts w:hint="eastAsia" w:ascii="仿宋_GB2312" w:hAnsi="仿宋" w:eastAsia="仿宋_GB2312" w:cs="仿宋"/>
          <w:sz w:val="32"/>
          <w:szCs w:val="32"/>
          <w:highlight w:val="none"/>
          <w:lang w:val="en-US" w:eastAsia="zh-CN"/>
        </w:rPr>
        <w:t>落户深圳的博士研究生学历人员可按有关规定申请10万元生活补贴。（博士后研究人员不可重复申请）</w:t>
      </w:r>
    </w:p>
    <w:p>
      <w:pPr>
        <w:spacing w:line="580" w:lineRule="exact"/>
        <w:ind w:firstLine="640" w:firstLineChars="200"/>
        <w:jc w:val="left"/>
        <w:rPr>
          <w:rFonts w:hint="eastAsia" w:ascii="仿宋_GB2312" w:hAnsi="仿宋" w:eastAsia="仿宋_GB2312" w:cs="仿宋"/>
          <w:sz w:val="32"/>
          <w:szCs w:val="32"/>
          <w:highlight w:val="yellow"/>
          <w:lang w:val="en-US" w:eastAsia="zh-CN"/>
        </w:rPr>
      </w:pPr>
      <w:r>
        <w:rPr>
          <w:rFonts w:hint="eastAsia" w:ascii="仿宋_GB2312" w:eastAsia="仿宋_GB2312"/>
          <w:sz w:val="32"/>
          <w:szCs w:val="32"/>
          <w:lang w:eastAsia="zh-CN"/>
        </w:rPr>
        <w:t>（五）</w:t>
      </w:r>
      <w:r>
        <w:rPr>
          <w:rFonts w:hint="eastAsia" w:ascii="仿宋_GB2312" w:eastAsia="仿宋_GB2312"/>
          <w:sz w:val="32"/>
          <w:szCs w:val="32"/>
        </w:rPr>
        <w:t>出站博士后选择留深从事科研工作，且与本市企事业单位签订3年以上劳动（聘用）合同的，可获得深圳市政府</w:t>
      </w:r>
      <w:r>
        <w:rPr>
          <w:rFonts w:ascii="仿宋_GB2312" w:eastAsia="仿宋_GB2312"/>
          <w:sz w:val="32"/>
          <w:szCs w:val="32"/>
        </w:rPr>
        <w:t>30万元的科研资助</w:t>
      </w:r>
      <w:r>
        <w:rPr>
          <w:rFonts w:hint="eastAsia" w:ascii="仿宋_GB2312" w:eastAsia="仿宋_GB2312"/>
          <w:sz w:val="32"/>
          <w:szCs w:val="32"/>
        </w:rPr>
        <w:t>。</w:t>
      </w:r>
    </w:p>
    <w:p>
      <w:pPr>
        <w:pStyle w:val="5"/>
        <w:widowControl/>
        <w:numPr>
          <w:ilvl w:val="0"/>
          <w:numId w:val="1"/>
        </w:numPr>
        <w:spacing w:beforeAutospacing="0" w:afterAutospacing="0" w:line="580" w:lineRule="exact"/>
        <w:ind w:firstLine="640" w:firstLineChars="200"/>
        <w:jc w:val="both"/>
        <w:rPr>
          <w:rFonts w:ascii="黑体" w:hAnsi="黑体" w:eastAsia="黑体" w:cs="黑体"/>
          <w:sz w:val="32"/>
          <w:szCs w:val="32"/>
          <w:highlight w:val="none"/>
        </w:rPr>
      </w:pPr>
      <w:r>
        <w:rPr>
          <w:rFonts w:hint="eastAsia" w:ascii="黑体" w:hAnsi="黑体" w:eastAsia="黑体" w:cs="黑体"/>
          <w:sz w:val="32"/>
          <w:szCs w:val="32"/>
          <w:highlight w:val="none"/>
        </w:rPr>
        <w:t>学习与成长</w:t>
      </w:r>
    </w:p>
    <w:p>
      <w:pPr>
        <w:spacing w:line="580" w:lineRule="exact"/>
        <w:ind w:firstLine="640" w:firstLineChars="200"/>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在前海，您可以：</w:t>
      </w:r>
    </w:p>
    <w:p>
      <w:pPr>
        <w:spacing w:line="580" w:lineRule="exact"/>
        <w:ind w:firstLine="640" w:firstLineChars="200"/>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拥有一流的干事创业平台；</w:t>
      </w:r>
    </w:p>
    <w:p>
      <w:pPr>
        <w:spacing w:line="580" w:lineRule="exact"/>
        <w:ind w:firstLine="640" w:firstLineChars="200"/>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rPr>
        <w:t>亲身参与国家最新改革创新实践；</w:t>
      </w:r>
    </w:p>
    <w:p>
      <w:pPr>
        <w:spacing w:line="580" w:lineRule="exact"/>
        <w:ind w:firstLine="640" w:firstLineChars="200"/>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培养国际视野、国家意识、国事思维和国策建议能力。</w:t>
      </w:r>
    </w:p>
    <w:p>
      <w:pPr>
        <w:pStyle w:val="5"/>
        <w:widowControl/>
        <w:numPr>
          <w:ilvl w:val="0"/>
          <w:numId w:val="1"/>
        </w:numPr>
        <w:spacing w:beforeAutospacing="0" w:afterAutospacing="0" w:line="580" w:lineRule="exact"/>
        <w:ind w:firstLine="640" w:firstLineChars="200"/>
        <w:jc w:val="both"/>
        <w:rPr>
          <w:rFonts w:ascii="黑体" w:hAnsi="黑体" w:eastAsia="黑体" w:cs="黑体"/>
          <w:sz w:val="32"/>
          <w:szCs w:val="32"/>
          <w:highlight w:val="none"/>
        </w:rPr>
      </w:pPr>
      <w:r>
        <w:rPr>
          <w:rFonts w:hint="eastAsia" w:ascii="黑体" w:hAnsi="黑体" w:eastAsia="黑体" w:cs="黑体"/>
          <w:sz w:val="32"/>
          <w:szCs w:val="32"/>
          <w:highlight w:val="none"/>
        </w:rPr>
        <w:t>注意事项</w:t>
      </w:r>
    </w:p>
    <w:p>
      <w:pPr>
        <w:numPr>
          <w:ilvl w:val="0"/>
          <w:numId w:val="2"/>
        </w:numPr>
        <w:spacing w:line="580" w:lineRule="exact"/>
        <w:ind w:firstLine="640" w:firstLineChars="200"/>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请如实提供应聘资料，凡弄虚作假者，一经查实，立即取消考试或录用资格。</w:t>
      </w:r>
    </w:p>
    <w:p>
      <w:pPr>
        <w:numPr>
          <w:ilvl w:val="0"/>
          <w:numId w:val="2"/>
        </w:numPr>
        <w:spacing w:line="580" w:lineRule="exact"/>
        <w:ind w:firstLine="640" w:firstLineChars="200"/>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请确保提供的联系方式准确无误，以便我们能及时与您联系。</w:t>
      </w:r>
    </w:p>
    <w:p>
      <w:pPr>
        <w:numPr>
          <w:ilvl w:val="0"/>
          <w:numId w:val="2"/>
        </w:numPr>
        <w:spacing w:line="580" w:lineRule="exact"/>
        <w:ind w:firstLine="640" w:firstLineChars="200"/>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前海管理局及局属公司从未举办或委托举办任何考试辅导培训课程，也从未指定任何参考用书和资料，招聘过程中前海管理局及局属公司不收取任何费用，请广大报考者提高警惕，莫被误导干扰，谨防上当受骗。</w:t>
      </w:r>
    </w:p>
    <w:p>
      <w:pPr>
        <w:numPr>
          <w:ilvl w:val="0"/>
          <w:numId w:val="2"/>
        </w:numPr>
        <w:spacing w:line="580" w:lineRule="exact"/>
        <w:ind w:firstLine="640" w:firstLineChars="200"/>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了解更多招聘信息及动态，欢迎关注微信公众号“</w:t>
      </w:r>
      <w:r>
        <w:rPr>
          <w:rFonts w:hint="eastAsia" w:ascii="仿宋_GB2312" w:hAnsi="仿宋" w:eastAsia="仿宋_GB2312" w:cs="仿宋"/>
          <w:sz w:val="32"/>
          <w:szCs w:val="32"/>
          <w:highlight w:val="none"/>
          <w:lang w:eastAsia="zh-CN"/>
        </w:rPr>
        <w:t>深圳</w:t>
      </w:r>
      <w:r>
        <w:rPr>
          <w:rFonts w:hint="eastAsia" w:ascii="仿宋_GB2312" w:hAnsi="仿宋" w:eastAsia="仿宋_GB2312" w:cs="仿宋"/>
          <w:sz w:val="32"/>
          <w:szCs w:val="32"/>
          <w:highlight w:val="none"/>
        </w:rPr>
        <w:t>前海”。</w:t>
      </w:r>
    </w:p>
    <w:p>
      <w:pPr>
        <w:numPr>
          <w:ilvl w:val="0"/>
          <w:numId w:val="2"/>
        </w:numPr>
        <w:spacing w:line="580" w:lineRule="exact"/>
        <w:ind w:firstLine="640" w:firstLineChars="200"/>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本次招聘的最终解释权归前海管理局所有。</w:t>
      </w:r>
    </w:p>
    <w:p>
      <w:pPr>
        <w:numPr>
          <w:ilvl w:val="0"/>
          <w:numId w:val="0"/>
        </w:numPr>
        <w:spacing w:line="580" w:lineRule="exact"/>
        <w:rPr>
          <w:rFonts w:hint="eastAsia" w:ascii="仿宋_GB2312" w:hAnsi="仿宋" w:eastAsia="仿宋_GB2312" w:cs="仿宋"/>
          <w:sz w:val="32"/>
          <w:szCs w:val="32"/>
          <w:highlight w:val="none"/>
        </w:rPr>
      </w:pPr>
    </w:p>
    <w:p>
      <w:pPr>
        <w:numPr>
          <w:ilvl w:val="0"/>
          <w:numId w:val="0"/>
        </w:numPr>
        <w:spacing w:line="580" w:lineRule="exact"/>
        <w:ind w:firstLine="640"/>
        <w:rPr>
          <w:rFonts w:hint="eastAsia" w:ascii="仿宋_GB2312" w:hAnsi="仿宋" w:eastAsia="仿宋_GB2312" w:cs="仿宋"/>
          <w:sz w:val="32"/>
          <w:szCs w:val="32"/>
          <w:highlight w:val="none"/>
          <w:lang w:val="en-US" w:eastAsia="zh-CN"/>
        </w:rPr>
      </w:pPr>
      <w:r>
        <w:rPr>
          <w:rFonts w:hint="eastAsia" w:ascii="仿宋_GB2312" w:hAnsi="仿宋" w:eastAsia="仿宋_GB2312" w:cs="仿宋"/>
          <w:sz w:val="32"/>
          <w:szCs w:val="32"/>
          <w:highlight w:val="none"/>
          <w:lang w:val="en-US" w:eastAsia="zh-CN"/>
        </w:rPr>
        <w:t>附件：1.前海管理局2024届校园招聘岗位汇总表</w:t>
      </w:r>
    </w:p>
    <w:p>
      <w:pPr>
        <w:numPr>
          <w:ilvl w:val="-1"/>
          <w:numId w:val="0"/>
        </w:numPr>
        <w:spacing w:line="580" w:lineRule="exact"/>
        <w:ind w:left="1600" w:firstLine="0"/>
        <w:rPr>
          <w:rFonts w:hint="eastAsia" w:ascii="仿宋_GB2312" w:hAnsi="仿宋" w:eastAsia="仿宋_GB2312" w:cs="仿宋"/>
          <w:sz w:val="32"/>
          <w:szCs w:val="32"/>
          <w:highlight w:val="none"/>
        </w:rPr>
      </w:pPr>
      <w:r>
        <w:rPr>
          <w:rFonts w:hint="eastAsia" w:ascii="仿宋_GB2312" w:hAnsi="仿宋" w:eastAsia="仿宋_GB2312" w:cs="仿宋"/>
          <w:sz w:val="32"/>
          <w:szCs w:val="32"/>
          <w:highlight w:val="none"/>
          <w:lang w:val="en-US" w:eastAsia="zh-CN"/>
        </w:rPr>
        <w:t>2.</w:t>
      </w:r>
      <w:r>
        <w:rPr>
          <w:rFonts w:hint="eastAsia" w:ascii="仿宋_GB2312" w:hAnsi="仿宋" w:eastAsia="仿宋_GB2312" w:cs="仿宋"/>
          <w:sz w:val="32"/>
          <w:szCs w:val="32"/>
          <w:highlight w:val="none"/>
        </w:rPr>
        <w:t>前海管理局2024届博士后研究人员招收方向</w:t>
      </w:r>
    </w:p>
    <w:p>
      <w:pPr>
        <w:numPr>
          <w:ilvl w:val="-1"/>
          <w:numId w:val="0"/>
        </w:numPr>
        <w:spacing w:line="580" w:lineRule="exact"/>
        <w:ind w:left="1600" w:firstLine="320" w:firstLineChars="100"/>
        <w:rPr>
          <w:rFonts w:hint="default" w:ascii="仿宋_GB2312" w:hAnsi="仿宋" w:eastAsia="仿宋_GB2312" w:cs="仿宋"/>
          <w:sz w:val="32"/>
          <w:szCs w:val="32"/>
          <w:highlight w:val="none"/>
          <w:lang w:val="en-US" w:eastAsia="zh-CN"/>
        </w:rPr>
      </w:pPr>
      <w:r>
        <w:rPr>
          <w:rFonts w:hint="eastAsia" w:ascii="仿宋_GB2312" w:hAnsi="仿宋" w:eastAsia="仿宋_GB2312" w:cs="仿宋"/>
          <w:sz w:val="32"/>
          <w:szCs w:val="32"/>
          <w:highlight w:val="none"/>
        </w:rPr>
        <w:t>汇总表</w:t>
      </w:r>
    </w:p>
    <w:p>
      <w:pPr>
        <w:spacing w:line="580" w:lineRule="exact"/>
        <w:rPr>
          <w:rFonts w:hint="default" w:ascii="仿宋_GB2312" w:hAnsi="仿宋" w:eastAsia="仿宋_GB2312" w:cs="仿宋"/>
          <w:sz w:val="32"/>
          <w:szCs w:val="32"/>
          <w:highlight w:val="none"/>
          <w:lang w:val="en-US" w:eastAsia="zh-CN"/>
        </w:rPr>
      </w:pPr>
      <w:r>
        <w:rPr>
          <w:rFonts w:hint="eastAsia" w:ascii="仿宋_GB2312" w:hAnsi="仿宋" w:eastAsia="仿宋_GB2312" w:cs="仿宋"/>
          <w:sz w:val="32"/>
          <w:szCs w:val="32"/>
          <w:highlight w:val="none"/>
          <w:lang w:val="en-US" w:eastAsia="zh-CN"/>
        </w:rPr>
        <w:t xml:space="preserve">          3.前海建投集团2024届校园招聘岗位汇总表</w:t>
      </w:r>
    </w:p>
    <w:p>
      <w:pPr>
        <w:spacing w:line="580" w:lineRule="exact"/>
        <w:rPr>
          <w:rFonts w:ascii="仿宋_GB2312" w:hAnsi="仿宋" w:eastAsia="仿宋_GB2312" w:cs="仿宋"/>
          <w:sz w:val="32"/>
          <w:szCs w:val="32"/>
          <w:highlight w:val="none"/>
        </w:rPr>
      </w:pPr>
    </w:p>
    <w:p>
      <w:pPr>
        <w:spacing w:line="580" w:lineRule="exact"/>
        <w:rPr>
          <w:rFonts w:ascii="仿宋_GB2312" w:hAnsi="仿宋" w:eastAsia="仿宋_GB2312" w:cs="仿宋"/>
          <w:sz w:val="32"/>
          <w:szCs w:val="32"/>
          <w:highlight w:val="none"/>
        </w:rPr>
      </w:pPr>
    </w:p>
    <w:p>
      <w:pPr>
        <w:spacing w:line="580" w:lineRule="exact"/>
        <w:ind w:firstLine="640" w:firstLineChars="200"/>
        <w:jc w:val="right"/>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深圳市前海管理局</w:t>
      </w:r>
    </w:p>
    <w:p>
      <w:pPr>
        <w:spacing w:line="580" w:lineRule="exact"/>
        <w:ind w:firstLine="640" w:firstLineChars="200"/>
        <w:jc w:val="right"/>
        <w:rPr>
          <w:rFonts w:ascii="仿宋_GB2312" w:hAnsi="仿宋" w:eastAsia="仿宋_GB2312" w:cs="仿宋"/>
          <w:sz w:val="32"/>
          <w:szCs w:val="32"/>
          <w:highlight w:val="none"/>
        </w:rPr>
      </w:pPr>
      <w:r>
        <w:rPr>
          <w:rFonts w:hint="eastAsia" w:ascii="仿宋_GB2312" w:hAnsi="仿宋" w:eastAsia="仿宋_GB2312" w:cs="仿宋"/>
          <w:sz w:val="32"/>
          <w:szCs w:val="32"/>
          <w:highlight w:val="none"/>
        </w:rPr>
        <w:t>　　20</w:t>
      </w:r>
      <w:r>
        <w:rPr>
          <w:rFonts w:hint="eastAsia" w:ascii="仿宋_GB2312" w:hAnsi="仿宋" w:eastAsia="仿宋_GB2312" w:cs="仿宋"/>
          <w:sz w:val="32"/>
          <w:szCs w:val="32"/>
          <w:highlight w:val="none"/>
          <w:lang w:val="en-US" w:eastAsia="zh-CN"/>
        </w:rPr>
        <w:t>23</w:t>
      </w:r>
      <w:r>
        <w:rPr>
          <w:rFonts w:hint="eastAsia" w:ascii="仿宋_GB2312" w:hAnsi="仿宋" w:eastAsia="仿宋_GB2312" w:cs="仿宋"/>
          <w:sz w:val="32"/>
          <w:szCs w:val="32"/>
          <w:highlight w:val="none"/>
        </w:rPr>
        <w:t>年1</w:t>
      </w:r>
      <w:r>
        <w:rPr>
          <w:rFonts w:hint="eastAsia" w:ascii="仿宋_GB2312" w:hAnsi="仿宋" w:eastAsia="仿宋_GB2312" w:cs="仿宋"/>
          <w:sz w:val="32"/>
          <w:szCs w:val="32"/>
          <w:highlight w:val="none"/>
          <w:lang w:val="en-US" w:eastAsia="zh-CN"/>
        </w:rPr>
        <w:t>1</w:t>
      </w:r>
      <w:r>
        <w:rPr>
          <w:rFonts w:hint="eastAsia" w:ascii="仿宋_GB2312" w:hAnsi="仿宋" w:eastAsia="仿宋_GB2312" w:cs="仿宋"/>
          <w:sz w:val="32"/>
          <w:szCs w:val="32"/>
          <w:highlight w:val="none"/>
        </w:rPr>
        <w:t>月</w:t>
      </w:r>
      <w:r>
        <w:rPr>
          <w:rFonts w:hint="eastAsia" w:ascii="仿宋_GB2312" w:hAnsi="仿宋" w:eastAsia="仿宋_GB2312" w:cs="仿宋"/>
          <w:sz w:val="32"/>
          <w:szCs w:val="32"/>
          <w:highlight w:val="none"/>
          <w:lang w:val="en-US" w:eastAsia="zh-CN"/>
        </w:rPr>
        <w:t>6</w:t>
      </w:r>
      <w:r>
        <w:rPr>
          <w:rFonts w:hint="eastAsia" w:ascii="仿宋_GB2312" w:hAnsi="仿宋" w:eastAsia="仿宋_GB2312" w:cs="仿宋"/>
          <w:sz w:val="32"/>
          <w:szCs w:val="32"/>
          <w:highlight w:val="none"/>
        </w:rPr>
        <w:t>日</w:t>
      </w: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3"/>
                          </w:pPr>
                          <w:r>
                            <w:fldChar w:fldCharType="begin"/>
                          </w:r>
                          <w:r>
                            <w:instrText xml:space="preserve"> PAGE  \* MERGEFORMAT </w:instrText>
                          </w:r>
                          <w:r>
                            <w:fldChar w:fldCharType="separate"/>
                          </w:r>
                          <w:r>
                            <w:t>1</w:t>
                          </w:r>
                          <w:r>
                            <w:fldChar w:fldCharType="end"/>
                          </w:r>
                        </w:p>
                      </w:txbxContent>
                    </wps:txbx>
                    <wps:bodyPr vert="horz" wrap="none" lIns="0" tIns="0" rIns="0" bIns="0" anchor="t" upright="0">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ySV/7SAQAAn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8jZMYA+dHmSEg0Mb4+RqGSeqfHYbeJDz5aVTiOW5uLvPJ96+K22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TJJX/tIBAACeAwAADgAAAAAAAAABACAAAAAfAQAA&#10;ZHJzL2Uyb0RvYy54bWxQSwUGAAAAAAYABgBZAQAAYwU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singleLevel"/>
    <w:tmpl w:val="00000001"/>
    <w:lvl w:ilvl="0" w:tentative="0">
      <w:start w:val="1"/>
      <w:numFmt w:val="chineseCounting"/>
      <w:suff w:val="nothing"/>
      <w:lvlText w:val="（%1）"/>
      <w:lvlJc w:val="left"/>
      <w:rPr>
        <w:rFonts w:hint="eastAsia"/>
      </w:rPr>
    </w:lvl>
  </w:abstractNum>
  <w:abstractNum w:abstractNumId="1">
    <w:nsid w:val="00000002"/>
    <w:multiLevelType w:val="singleLevel"/>
    <w:tmpl w:val="00000002"/>
    <w:lvl w:ilvl="0" w:tentative="0">
      <w:start w:val="1"/>
      <w:numFmt w:val="chineseCounting"/>
      <w:suff w:val="nothing"/>
      <w:lvlText w:val="%1、"/>
      <w:lvlJc w:val="left"/>
      <w:rPr>
        <w:rFonts w:hint="eastAsia" w:ascii="黑体" w:hAnsi="黑体" w:eastAsia="黑体" w:cs="黑体"/>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2B621EB"/>
    <w:rsid w:val="044571BD"/>
    <w:rsid w:val="073C13D5"/>
    <w:rsid w:val="0B566444"/>
    <w:rsid w:val="0CCE1354"/>
    <w:rsid w:val="0CE45D2E"/>
    <w:rsid w:val="0F0B4980"/>
    <w:rsid w:val="110E332A"/>
    <w:rsid w:val="117C6012"/>
    <w:rsid w:val="14E3014C"/>
    <w:rsid w:val="155778D6"/>
    <w:rsid w:val="1F1B7B30"/>
    <w:rsid w:val="1FB21E1D"/>
    <w:rsid w:val="22BC346A"/>
    <w:rsid w:val="26BD1E2E"/>
    <w:rsid w:val="331D2695"/>
    <w:rsid w:val="3ECD70CC"/>
    <w:rsid w:val="3F0252AA"/>
    <w:rsid w:val="3F1B7518"/>
    <w:rsid w:val="44EE43AE"/>
    <w:rsid w:val="44F07793"/>
    <w:rsid w:val="45A6480B"/>
    <w:rsid w:val="49395D2D"/>
    <w:rsid w:val="498D32AB"/>
    <w:rsid w:val="4B121F76"/>
    <w:rsid w:val="533B580F"/>
    <w:rsid w:val="53983187"/>
    <w:rsid w:val="548D737C"/>
    <w:rsid w:val="58CB7EF7"/>
    <w:rsid w:val="58DC54E5"/>
    <w:rsid w:val="5FB61517"/>
    <w:rsid w:val="62B348CE"/>
    <w:rsid w:val="634A5C98"/>
    <w:rsid w:val="64EC26A9"/>
    <w:rsid w:val="68104C92"/>
    <w:rsid w:val="68855237"/>
    <w:rsid w:val="6B0F4F3A"/>
    <w:rsid w:val="6BD6504A"/>
    <w:rsid w:val="70D130F5"/>
    <w:rsid w:val="77E795F4"/>
    <w:rsid w:val="7D4741D4"/>
    <w:rsid w:val="7D506C42"/>
    <w:rsid w:val="7D871668"/>
    <w:rsid w:val="7F7DB60C"/>
    <w:rsid w:val="EAFD6DF7"/>
    <w:rsid w:val="EDE709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8">
    <w:name w:val="Default Paragraph Font"/>
    <w:qFormat/>
    <w:uiPriority w:val="1"/>
  </w:style>
  <w:style w:type="table" w:default="1" w:styleId="6">
    <w:name w:val="Normal Table"/>
    <w:qFormat/>
    <w:uiPriority w:val="99"/>
    <w:tblPr>
      <w:tblCellMar>
        <w:top w:w="0" w:type="dxa"/>
        <w:left w:w="108" w:type="dxa"/>
        <w:bottom w:w="0" w:type="dxa"/>
        <w:right w:w="108" w:type="dxa"/>
      </w:tblCellMar>
    </w:tblPr>
  </w:style>
  <w:style w:type="paragraph" w:styleId="2">
    <w:name w:val="Balloon Text"/>
    <w:basedOn w:val="1"/>
    <w:link w:val="14"/>
    <w:qFormat/>
    <w:uiPriority w:val="0"/>
    <w:rPr>
      <w:sz w:val="18"/>
      <w:szCs w:val="18"/>
    </w:rPr>
  </w:style>
  <w:style w:type="paragraph" w:styleId="3">
    <w:name w:val="footer"/>
    <w:basedOn w:val="1"/>
    <w:link w:val="13"/>
    <w:qFormat/>
    <w:uiPriority w:val="0"/>
    <w:pPr>
      <w:tabs>
        <w:tab w:val="center" w:pos="4153"/>
        <w:tab w:val="right" w:pos="8306"/>
      </w:tabs>
      <w:snapToGrid w:val="0"/>
      <w:jc w:val="left"/>
    </w:pPr>
    <w:rPr>
      <w:sz w:val="18"/>
      <w:szCs w:val="18"/>
    </w:rPr>
  </w:style>
  <w:style w:type="paragraph" w:styleId="4">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rPr>
  </w:style>
  <w:style w:type="character" w:styleId="10">
    <w:name w:val="Emphasis"/>
    <w:basedOn w:val="8"/>
    <w:qFormat/>
    <w:uiPriority w:val="0"/>
    <w:rPr>
      <w:i/>
    </w:rPr>
  </w:style>
  <w:style w:type="character" w:styleId="11">
    <w:name w:val="Hyperlink"/>
    <w:basedOn w:val="8"/>
    <w:qFormat/>
    <w:uiPriority w:val="0"/>
    <w:rPr>
      <w:color w:val="0000FF"/>
      <w:u w:val="single"/>
    </w:rPr>
  </w:style>
  <w:style w:type="character" w:customStyle="1" w:styleId="12">
    <w:name w:val="页眉 Char"/>
    <w:basedOn w:val="8"/>
    <w:link w:val="4"/>
    <w:qFormat/>
    <w:uiPriority w:val="0"/>
    <w:rPr>
      <w:rFonts w:ascii="Calibri" w:hAnsi="Calibri" w:eastAsia="宋体" w:cs="宋体"/>
      <w:kern w:val="2"/>
      <w:sz w:val="18"/>
      <w:szCs w:val="18"/>
    </w:rPr>
  </w:style>
  <w:style w:type="character" w:customStyle="1" w:styleId="13">
    <w:name w:val="页脚 Char"/>
    <w:basedOn w:val="8"/>
    <w:link w:val="3"/>
    <w:qFormat/>
    <w:uiPriority w:val="0"/>
    <w:rPr>
      <w:rFonts w:ascii="Calibri" w:hAnsi="Calibri" w:eastAsia="宋体" w:cs="宋体"/>
      <w:kern w:val="2"/>
      <w:sz w:val="18"/>
      <w:szCs w:val="18"/>
    </w:rPr>
  </w:style>
  <w:style w:type="character" w:customStyle="1" w:styleId="14">
    <w:name w:val="批注框文本 Char"/>
    <w:basedOn w:val="8"/>
    <w:link w:val="2"/>
    <w:qFormat/>
    <w:uiPriority w:val="0"/>
    <w:rPr>
      <w:rFonts w:ascii="Calibri" w:hAnsi="Calibri" w:eastAsia="宋体" w:cs="宋体"/>
      <w:kern w:val="2"/>
      <w:sz w:val="18"/>
      <w:szCs w:val="18"/>
    </w:rPr>
  </w:style>
  <w:style w:type="character" w:customStyle="1" w:styleId="15">
    <w:name w:val="font31"/>
    <w:basedOn w:val="8"/>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3955</Words>
  <Characters>4252</Characters>
  <Paragraphs>222</Paragraphs>
  <TotalTime>1</TotalTime>
  <ScaleCrop>false</ScaleCrop>
  <LinksUpToDate>false</LinksUpToDate>
  <CharactersWithSpaces>4283</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2019-09-16T09:07:00Z</dcterms:created>
  <dc:creator>萌崽⊙▽⊙</dc:creator>
  <cp:lastModifiedBy>晋艺萌</cp:lastModifiedBy>
  <cp:lastPrinted>2023-11-02T05:05:00Z</cp:lastPrinted>
  <dcterms:modified xsi:type="dcterms:W3CDTF">2023-11-02T07:10:21Z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3d3c2f22e8cc491984c1cee9010934fe</vt:lpwstr>
  </property>
</Properties>
</file>